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bookmarkStart w:id="0" w:name="_GoBack"/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МИНИСТЕРСТВО РОССИЙСКОЙ ФЕДЕРАЦИИ ПО ДЕЛАМ ГРАЖДАНСКОЙ ОБОРОНЫ, ЧРЕЗВЫЧАЙНЫМ СИТУАЦИЯМ И ЛИКВИДАЦИИ ПОСЛЕДСТВИЙ СТИХИЙНЫХ БЕДСТВИЙ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ГОСУДАРСТВЕННАЯ ПРОТИВОПОЖАРНАЯ СЛУЖБА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</w:p>
    <w:p w:rsidR="004F007C" w:rsidRPr="00FA6D15" w:rsidRDefault="004F007C" w:rsidP="004F007C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6D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НОРМЫ ПОЖАРНОЙ БЕЗОПАСНОСТИ</w:t>
      </w:r>
    </w:p>
    <w:p w:rsidR="004F007C" w:rsidRPr="00FA6D15" w:rsidRDefault="004F007C" w:rsidP="004F007C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6D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4F007C" w:rsidRPr="00FA6D15" w:rsidRDefault="004F007C" w:rsidP="004F007C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6D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ОПРЕДЕЛЕНИЕ КАТЕГОРИЙ ПОМЕЩЕНИЙ, ЗДАНИЙ И НАРУЖНЫХ УСТАНОВОК ПО ВЗРЫВОПОЖАРНОЙ И ПОЖАРНОЙ ОПАСНОСТИ </w:t>
      </w:r>
    </w:p>
    <w:p w:rsidR="004F007C" w:rsidRPr="00FA6D15" w:rsidRDefault="004F007C" w:rsidP="004F007C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FA6D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НПБ</w:t>
      </w:r>
      <w:r w:rsidRPr="00FA6D1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105-03 </w:t>
      </w:r>
    </w:p>
    <w:p w:rsidR="004F007C" w:rsidRPr="00FA6D15" w:rsidRDefault="004F007C" w:rsidP="004F007C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FA6D1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val="en-US" w:eastAsia="ru-RU"/>
        </w:rPr>
        <w:t>DETERMINATION OF CATEGORIES OF ROOMS, BUILDINGS AND EXTERNAL INSTALLATIONS ON EXCPLOSION AND FIRE HAZARD</w:t>
      </w:r>
      <w:r w:rsidRPr="00FA6D15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val="en-US" w:eastAsia="ru-RU"/>
        </w:rPr>
        <w:t> 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МОСКВА 2003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Разработаны Главным управлением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(ГУГПС МЧС России) и Федеральным учреждением “Всероссийский ордена “Знак Почета” научно исследовательский институт противопожарной обороны Министерства Российской Федерации по делам гражданской обороны, чрезвычайным ситуациям и ликвидации последствий стихийных бедствий” (ФГУ ВНИИПО МЧС России).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Внесены и подготовлены к утверждению нормативно-техническим отделом Главного управления Государственной противопожарной службы (ГУГПС МЧС России).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Письмом Минюста России от 26.06.2003 г. № 07/6503-ЮД признаны не нуждающимися в государственной регистрации.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Утверждены приказом МЧС России от 18.06.2003 г. № 314.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Дата введения в действие – с момента опубликования.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Взамен НПБ 105-95, НПБ 107-97.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Настоящий нормативный документ не может быть полностью или частично воспроизведен, тиражирован и распространен в качестве официального издания без разрешения ГУГПС и ФГУ ВНИИПО МЧС России.</w:t>
      </w:r>
    </w:p>
    <w:p w:rsidR="004F007C" w:rsidRPr="00FA6D15" w:rsidRDefault="004F007C" w:rsidP="004F007C">
      <w:pPr>
        <w:spacing w:before="100" w:beforeAutospacing="1" w:after="100" w:afterAutospacing="1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Дата введения 01.08.2003 г.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Настоящие нормы устанавливают методику определения категорий помещений и зданий (или частей зданий между противопожарными стенами - пожарных отсеков)</w:t>
      </w:r>
      <w:r w:rsidRPr="00FA6D1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FA6D15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 производственного и складского назначения по взрывопожарной и пожарной опасности в зависимости от количества и пожаровзрывоопасных свойств находящихся (обращающихся) в них веществ и материалов с учетом особенностей технологических процессов размещенных в них производств, а также методику определения категорий наружных установок производственного и складского назначения</w:t>
      </w:r>
      <w:r w:rsidRPr="00FA6D1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 по пожарной опасности.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FA6D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Далее по тексту – помещений и зданий</w:t>
      </w:r>
      <w:r w:rsidRPr="00FA6D1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FA6D1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FA6D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Далее по тексту – наружные установки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Методика определения категорий помещений и зданий по взрывопожарной и пожарной опасности должна использоваться в проектно-сметной и эксплутационной документации на здания, помещения и наружные установки.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Категории помещений и зданий предприятий и учреждений определяются на стадии проектирования зданий и сооружений в соответствии с настоящими нормами и ведомственными нормами технологического проектирования, утвержденными в установленном порядке.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Требования норм к наружным установкам должны учитываться в проектах на строительство, расширение, реконструкцию и техническое перевооружение, при изменениях технологических процессов и при эксплуатации наружных установок. Наряду с настоящими нормами следует также руководствоваться положениями ведомственных норм технологического проектирования, касающихся категорирования наружных установок, утвержденных в установленном порядке.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В области оценки взрывоопасности настоящие нормы выделяют категории взрывопожароопасных помещений и зданий, более детальная классификация которых по взрывоопасности и необходимые защитные мероприятия должны регламентироваться самостоятельными нормативными документами.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Категории помещений и зданий, определенные в соответствии с настоящими нормами, следует применять для установления нормативных требований по обеспечению взрывопожарной и пожарной безопасности указанных помещений и зданий в отношении планировки и застройки, этажности, площадей, размещения помещений, конструктивных решений, инженерного оборудования.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Настоящие нормы не распространяются:</w:t>
      </w:r>
    </w:p>
    <w:p w:rsidR="004F007C" w:rsidRPr="00FA6D15" w:rsidRDefault="004F007C" w:rsidP="004F007C">
      <w:pPr>
        <w:spacing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на помещения и здания для производства и хранения взрывчатых веществ (далее - ВВ), средств инициирования ВВ, здания и сооружения, проектируемые по специальным нормам и правилам, утвержденным в установленном порядке;</w:t>
      </w:r>
    </w:p>
    <w:p w:rsidR="004F007C" w:rsidRPr="00FA6D15" w:rsidRDefault="004F007C" w:rsidP="004F007C">
      <w:pPr>
        <w:spacing w:before="100" w:beforeAutospacing="1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на наружные установки для производства и хранения ВВ, средств инициирования ВВ, наружные установки, проектируемые по специальным нормам и правилам, утвержденным в установленном порядке, а также на оценку уровня взрывоопасности наружных установок.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Термины и их определения приняты в соответствии с нормативными документами по пожарной безопасности.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Под термином “Наружная установка” в настоящих нормах понимается комплекс аппаратов и технологического оборудования, расположенных вне зданий, с несущими и обслуживающими конструкциями.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ОГЛАВЛЕНИЕ</w:t>
      </w:r>
    </w:p>
    <w:p w:rsidR="004F007C" w:rsidRPr="00FA6D15" w:rsidRDefault="00FA6D15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hyperlink r:id="rId5" w:anchor="1" w:history="1">
        <w:r w:rsidR="004F007C" w:rsidRPr="00FA6D15">
          <w:rPr>
            <w:rFonts w:ascii="Arial" w:eastAsia="Times New Roman" w:hAnsi="Arial" w:cs="Arial"/>
            <w:sz w:val="20"/>
            <w:szCs w:val="20"/>
            <w:lang w:eastAsia="ru-RU"/>
          </w:rPr>
          <w:t>1. Общие положения</w:t>
        </w:r>
      </w:hyperlink>
      <w:r w:rsidR="004F007C"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   </w:t>
      </w:r>
    </w:p>
    <w:p w:rsidR="004F007C" w:rsidRPr="00FA6D15" w:rsidRDefault="00FA6D15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hyperlink r:id="rId6" w:anchor="2" w:history="1">
        <w:r w:rsidR="004F007C" w:rsidRPr="00FA6D15">
          <w:rPr>
            <w:rFonts w:ascii="Arial" w:eastAsia="Times New Roman" w:hAnsi="Arial" w:cs="Arial"/>
            <w:sz w:val="20"/>
            <w:szCs w:val="20"/>
            <w:lang w:eastAsia="ru-RU"/>
          </w:rPr>
          <w:t>2. Категории помещений по взрывопожарной и пожарной опасности</w:t>
        </w:r>
      </w:hyperlink>
      <w:r w:rsidR="004F007C"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   </w:t>
      </w:r>
    </w:p>
    <w:p w:rsidR="004F007C" w:rsidRPr="00FA6D15" w:rsidRDefault="00FA6D15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hyperlink r:id="rId7" w:anchor="3" w:history="1">
        <w:r w:rsidR="004F007C" w:rsidRPr="00FA6D15">
          <w:rPr>
            <w:rFonts w:ascii="Arial" w:eastAsia="Times New Roman" w:hAnsi="Arial" w:cs="Arial"/>
            <w:sz w:val="20"/>
            <w:szCs w:val="20"/>
            <w:lang w:eastAsia="ru-RU"/>
          </w:rPr>
          <w:t>3. Методы расчета критериев взрывопожарной опасности помещений</w:t>
        </w:r>
      </w:hyperlink>
      <w:r w:rsidR="004F007C"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   </w:t>
      </w:r>
    </w:p>
    <w:p w:rsidR="004F007C" w:rsidRPr="00FA6D15" w:rsidRDefault="00FA6D15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hyperlink r:id="rId8" w:anchor="4" w:history="1">
        <w:r w:rsidR="004F007C" w:rsidRPr="00FA6D15">
          <w:rPr>
            <w:rFonts w:ascii="Arial" w:eastAsia="Times New Roman" w:hAnsi="Arial" w:cs="Arial"/>
            <w:sz w:val="20"/>
            <w:szCs w:val="20"/>
            <w:lang w:eastAsia="ru-RU"/>
          </w:rPr>
          <w:t>4. Категории зданий по взрывопожарной и пожарной опасности</w:t>
        </w:r>
      </w:hyperlink>
      <w:r w:rsidR="004F007C"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   </w:t>
      </w:r>
    </w:p>
    <w:p w:rsidR="004F007C" w:rsidRPr="00FA6D15" w:rsidRDefault="00FA6D15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hyperlink r:id="rId9" w:anchor="5" w:history="1">
        <w:r w:rsidR="004F007C" w:rsidRPr="00FA6D15">
          <w:rPr>
            <w:rFonts w:ascii="Arial" w:eastAsia="Times New Roman" w:hAnsi="Arial" w:cs="Arial"/>
            <w:sz w:val="20"/>
            <w:szCs w:val="20"/>
            <w:lang w:eastAsia="ru-RU"/>
          </w:rPr>
          <w:t>5. Категории наружных установок по пожарной опасности</w:t>
        </w:r>
      </w:hyperlink>
      <w:r w:rsidR="004F007C"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   </w:t>
      </w:r>
    </w:p>
    <w:p w:rsidR="004F007C" w:rsidRPr="00FA6D15" w:rsidRDefault="00FA6D15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hyperlink r:id="rId10" w:anchor="6" w:history="1">
        <w:r w:rsidR="004F007C" w:rsidRPr="00FA6D15">
          <w:rPr>
            <w:rFonts w:ascii="Arial" w:eastAsia="Times New Roman" w:hAnsi="Arial" w:cs="Arial"/>
            <w:sz w:val="20"/>
            <w:szCs w:val="20"/>
            <w:lang w:eastAsia="ru-RU"/>
          </w:rPr>
          <w:t>6. Методы расчета значений критериев пожарной опасности наружных установок</w:t>
        </w:r>
      </w:hyperlink>
      <w:r w:rsidR="004F007C"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   </w:t>
      </w:r>
    </w:p>
    <w:p w:rsidR="004F007C" w:rsidRPr="00FA6D15" w:rsidRDefault="00FA6D15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hyperlink r:id="rId11" w:anchor="7" w:history="1">
        <w:r w:rsidR="004F007C" w:rsidRPr="00FA6D15">
          <w:rPr>
            <w:rFonts w:ascii="Arial" w:eastAsia="Times New Roman" w:hAnsi="Arial" w:cs="Arial"/>
            <w:sz w:val="20"/>
            <w:szCs w:val="20"/>
            <w:lang w:eastAsia="ru-RU"/>
          </w:rPr>
          <w:t>7. Метод оценки индивидуального риска</w:t>
        </w:r>
      </w:hyperlink>
      <w:r w:rsidR="004F007C"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   </w:t>
      </w:r>
    </w:p>
    <w:p w:rsidR="004F007C" w:rsidRPr="00FA6D15" w:rsidRDefault="00FA6D15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hyperlink r:id="rId12" w:anchor="ПРИЛОЖЕНИЕ" w:history="1">
        <w:r w:rsidR="004F007C" w:rsidRPr="00FA6D15">
          <w:rPr>
            <w:rFonts w:ascii="Arial" w:eastAsia="Times New Roman" w:hAnsi="Arial" w:cs="Arial"/>
            <w:sz w:val="20"/>
            <w:szCs w:val="20"/>
            <w:lang w:eastAsia="ru-RU"/>
          </w:rPr>
          <w:t>ПРИЛОЖЕНИЕ. Рекомендуемое. Расчетное определение значения коэффициента Z участия горючих газов и паров ненагретых легковоспламеняющихся жидкостей во взрыве</w:t>
        </w:r>
      </w:hyperlink>
      <w:r w:rsidR="004F007C"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   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lastRenderedPageBreak/>
        <w:t xml:space="preserve">  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bookmarkStart w:id="1" w:name="1"/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</w:t>
      </w:r>
      <w:bookmarkEnd w:id="1"/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. ОБЩИЕ ПОЛОЖЕНИЯ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1. По взрывопожарной и пожарной опасности помещения подразделяются на категории А, Б, В1 – В4, Г и Д, а здания – на категории А, Б, В, Г и Д.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По пожарной опасности наружные установки подразделяются на категории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А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Б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В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Г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Д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2. Категории взрывопожарной и пожарной опасности помещений и зданий определяются для наиболее неблагоприятного в отношении пожара или взрыва периода, исходя из вида находящихся в аппаратах и помещениях горючих веществ и материалов, их количества и пожароопасных свойств, особенностей технологических процессов.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Категории пожарной опасности наружных установок определяются, исходя из вида находящихся в наружных установках горючих веществ и материалов, их количества и пожароопасных свойств, особенностей технологических процессов.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3. Определение пожароопасных свойств веществ и материалов производится на основании результатов испытаний или расчетов по стандартным методикам с учетом параметров состояния (давления, температуры и т. д.).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Допускается использование справочных данных, опубликованных головными научно-исследовательскими организациями в области пожарной безопасности или выданных Государственной службой стандартных справочных данных.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Допускается использование показателей пожарной опасности для смесей веществ и материалов по наиболее опасному компоненту.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bookmarkStart w:id="2" w:name="2"/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</w:t>
      </w:r>
      <w:bookmarkEnd w:id="2"/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. КАТЕГОРИИ ПОМЕЩЕНИЙ ПО ВЗРЫВОПОЖАРНОЙ И ПОЖАРНОЙ ОПАСНОСТИ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4. Категории помещений по взрывопожарной и пожарной опасности принимаются в соответствии с табл. 1.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5. Определение категорий помещений следует осуществлять путем последовательной проверки принадлежности помещения к категориям, приведенным в табл. 1, от высшей (А) к низшей (Д).</w:t>
      </w:r>
    </w:p>
    <w:p w:rsidR="004F007C" w:rsidRPr="00FA6D15" w:rsidRDefault="004F007C" w:rsidP="004F007C">
      <w:pPr>
        <w:spacing w:before="100" w:beforeAutospacing="1" w:after="100" w:afterAutospacing="1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 а б л и ц а 1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19"/>
        <w:gridCol w:w="7620"/>
      </w:tblGrid>
      <w:tr w:rsidR="00FA6D15" w:rsidRPr="00FA6D15">
        <w:trPr>
          <w:trHeight w:val="600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Категория помещения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Характеристика веществ и материалов, находящихся (обращающихся) в помещении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 взрывопожароопасная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Горючие газы, легковоспламеняющиеся жидкости с температурой вспышки не более 28 </w:t>
            </w:r>
            <w:r w:rsidRPr="00FA6D15">
              <w:rPr>
                <w:rFonts w:ascii="Symbol" w:eastAsia="Times New Roman" w:hAnsi="Symbol" w:cs="Arial"/>
                <w:sz w:val="20"/>
                <w:szCs w:val="20"/>
                <w:lang w:eastAsia="ru-RU"/>
              </w:rPr>
              <w:t>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 в таком количестве, что могут образовывать взрывоопасные парогазовоздушные смеси, при воспламенении которых развивается расчетное избыточное давление взрыва в помещении, превышающее 5 кПа.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Вещества и материалы, способные взрываться и гореть при взаимодействии с водой, кислородом воздуха или друг с другом в таком количестве, что расчетное избыточное давление взрыва в помещении превышает 5 кПа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 взрывопожароопасная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Горючие пыли или волокна, легковоспламеняющиеся жидкости с температурой вспышки более 28 </w:t>
            </w:r>
            <w:r w:rsidRPr="00FA6D15">
              <w:rPr>
                <w:rFonts w:ascii="Symbol" w:eastAsia="Times New Roman" w:hAnsi="Symbol" w:cs="Arial"/>
                <w:sz w:val="20"/>
                <w:szCs w:val="20"/>
                <w:lang w:eastAsia="ru-RU"/>
              </w:rPr>
              <w:t>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С, горючие жидкости в таком количестве, что могут образовывать взрывоопасные пылевоздушные или паровоздушные смеси, при воспламенении которых развивается расчетное избыточное давление взрыва в помещении, превышающее 5 кПа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В1 - В4 пожароопасные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Горючие и трудногорючие жидкости, твердые горючие и трудногорючие вещества и материалы (в том числе пыли и волокна), вещества и материалы, способные при взаимодействии с водой, кислородом воздуха или друг с другом только гореть, при условии, что помещения, в которых они имеются в наличии или обращаются, не относятся к категориям А или Б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Негорючие вещества и материалы в горячем, раскаленном или расплавленном состоянии, процесс обработки которых сопровождается выделением лучистого тепла, искр и пламени; горючие газы, жидкости и твердые вещества, которые сжигаются или утилизируются в качестве топлива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Негорючие вещества и материалы в холодном состоянии</w:t>
            </w:r>
          </w:p>
        </w:tc>
      </w:tr>
    </w:tbl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П р и м е ч а н и е :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Разделение помещений на категории В1—В4 регламентируется положениями, изложенными в табл. 4.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bookmarkStart w:id="3" w:name="3"/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3</w:t>
      </w:r>
      <w:bookmarkEnd w:id="3"/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. МЕТОДЫ РАСЧЕТА КРИТЕРИЕВ ВЗРЫВОПОЖАРНОЙ ОПАСНОСТИ ПОМЕЩЕНИЙ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Выбор и обоснование расчетного варианта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6. При расчете значений критериев взрывопожарной опасности в качестве расчетного следует выбирать наиболее неблагоприятный вариант аварии или период нормальной работы аппаратов, при котором во взрыве участвует наибольшее количество веществ или материалов, наиболее опасных в отношении последствий взрыва.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В случае если использование расчетных методов не представляется возможным, допускается определение значений критериев взрывопожарной опасности на основании результатов соответствующих научно-исследовательских работ, согласованных и утвержденных в установленном порядке.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7. Количество поступивших в помещение веществ, которые могут образовать взрывоопасные газовоздушные или паровоздушные смеси, определяется исходя из следующих предпосылок:</w:t>
      </w:r>
    </w:p>
    <w:p w:rsidR="004F007C" w:rsidRPr="00FA6D15" w:rsidRDefault="004F007C" w:rsidP="004F007C">
      <w:pPr>
        <w:spacing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а) происходит расчетная авария одного из аппаратов согласно п. 6;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б) все содержимое аппарата поступает в помещение;</w:t>
      </w:r>
    </w:p>
    <w:p w:rsidR="004F007C" w:rsidRPr="00FA6D15" w:rsidRDefault="004F007C" w:rsidP="004F007C">
      <w:pPr>
        <w:spacing w:before="100" w:beforeAutospacing="1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в) происходит одновременно утечка веществ из трубопроводов, питающих аппарат, по прямому и обратному потокам в течение времени, необходимого для отключения трубопроводов.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Расчетное время отключения трубопроводов определяется в каждом конкретном случае исходя из реальной обстановки и должно быть минимальным с учетом паспортных данных на запорные устройства, характера технологического процесса и вида расчетной аварии.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Расчетное время отключения трубопроводов следует принимать равным:</w:t>
      </w:r>
    </w:p>
    <w:p w:rsidR="004F007C" w:rsidRPr="00FA6D15" w:rsidRDefault="004F007C" w:rsidP="004F007C">
      <w:pPr>
        <w:spacing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времени срабатывания системы автоматики отключения трубопроводов согласно паспортным данным установки, если вероятность отказа системы автоматики не превышает 0,000001 в год или обеспечено резервирование ее элементов;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120 с, если вероятность отказа системы автоматики превышает 0,000001 в год и не обеспечено резервирование ее элементов;</w:t>
      </w:r>
    </w:p>
    <w:p w:rsidR="004F007C" w:rsidRPr="00FA6D15" w:rsidRDefault="004F007C" w:rsidP="004F007C">
      <w:pPr>
        <w:spacing w:before="100" w:beforeAutospacing="1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300 с при ручном отключении.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Не допускается использование технических средств для отключения трубопроводов, для которых время отключения превышает приведенные выше значения.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Под “временем срабатывания” и “временем отключения” следует понимать промежуток времени от начала возможного поступления горючего вещества из трубопровода (перфорация, разрыв, изменение номинального давления и т. п.) до полного прекращения поступления газа или жидкости в помещение.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Быстродействующие клапаны-отсекатели должны автоматически перекрывать подачу газа или жидкости при нарушении электроснабжения.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В исключительных случаях в установленном порядке допускается превышение приведенных выше значений времени отключения трубопроводов специальным решением соответствующих федеральных министерств и других федеральных органов исполнительной власти по согласованию с Госгортехнадзором России на подконтрольных ему производствах и предприятиях и МЧС России;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г) происходит испарение с поверхности разлившейся жидкости; площадь испарения при разливе на пол определяется (при отсутствии справочных данных) исходя из расчета, что 1 л смесей и растворов, содержащих 70 % и менее (по массе) растворителей, разливается на площади 0,5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а остальных жидкостей – на 1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пола помещения;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д) происходит также испарение жидкости из емкостей, эксплуатируемых с открытым зеркалом жидкости, и со свежеокрашенных поверхностей;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е) длительность испарения жидкости принимается равной времени ее полного испарения, но не более 3600 с.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8. Количество пыли, которое может образовать взрывоопасную смесь, определяется из следующих предпосылок: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а) расчетной аварии предшествовало пыленакопление в производственном помещении, происходящее в условиях нормального режима работы (например, вследствие пылевыделения из негерметичного производственного оборудования);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б) в момент расчетной аварии произошла плановая (ремонтные работы) или внезапная разгерметизация одного из технологических аппаратов, за которой последовал аварийный выброс в помещение всей находившейся в аппарате пыли.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9. Свободный объем помещения определяется как разность между объемом помещения и объемом, занимаемым технологическим оборудованием. Если свободный объем помещения определить невозможно, то его допускается принимать условно равным 80% геометрического объема помещения.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Расчет избыточного давления взрыва для горючих газов, паров легковоспламеняющихся и горючих жидкостей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10. Избыточное давление взрыва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для индивидуальных горючих веществ, состоящих из атомов С, Н, О, N, С1, Вr, I, F, определяется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</w:t>
      </w: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4A69E735" wp14:editId="5BD7AA7A">
            <wp:extent cx="2435860" cy="541020"/>
            <wp:effectExtent l="0" t="0" r="2540" b="0"/>
            <wp:docPr id="1" name="Рисунок 1" descr="E:\NPB\Image\105-0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NPB\Image\105-031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6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                                  (1)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max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максимальное давление взрыва стехиометрической газовоздушной или паровоздушной смеси в замкнутом объеме, определяемое экспериментально или по справочным данным в соответствии с требованиями п. 3. При отсутствии данных допускается принимать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max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равным 900 кПа;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0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начальное давление, кПа (допускается принимать равным 101 кПа);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масса горючего газа (ГГ) или паров легковоспламеняющихся (ЛВЖ) и горючих жидкостей (ГЖ), вышедших в результате расчетной аварии в помещение, вычисляемая для ГГ по формуле (6), а для паров ЛВЖ и ГЖ по формуле (11), кг;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Z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коэффициент участия горючего во взрыве, который может быть рассчитан на основе характера распределения газов и паров в объеме помещения согласно приложению. Допускается принимать значение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Z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по табл. 2;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св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свободный объем помещения,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г,п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плотность газа или пара при расчетной температуре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t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p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кг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вычисляемая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</w:t>
      </w: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2AAE06B0" wp14:editId="7143544B">
            <wp:extent cx="1609090" cy="446405"/>
            <wp:effectExtent l="0" t="0" r="0" b="0"/>
            <wp:docPr id="2" name="Рисунок 2" descr="E:\NPB\Image\105-0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NPB\Image\105-032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090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                                        (2)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молярная масса, кг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кмоль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0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мольный объем, равный 22,413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кмоль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t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p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— расчетная температура,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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С. В качестве расчетной температуры следует принимать максимально возможную температуру воздуха в данном помещении в соответствующей климатической зоне или максимально возможную температуру воздуха по технологическому регламенту с учетом возможного повышения температуры в аварийной ситуации. Если такого значения расчетной температуры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t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p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по каким-либо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причинам определить не удается, допускается принимать ее равной 61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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С;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ст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— стехиометрическая концентрация ГГ или паров ЛВЖ и ГЖ, % (об.), вычисляемая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03708D04" wp14:editId="0FDE8735">
            <wp:extent cx="1214120" cy="541020"/>
            <wp:effectExtent l="0" t="0" r="5080" b="0"/>
            <wp:docPr id="3" name="Рисунок 3" descr="E:\NPB\Image\105-0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NPB\Image\105-033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                         (3)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3D4A0B9F" wp14:editId="5CACA901">
            <wp:extent cx="1382395" cy="380365"/>
            <wp:effectExtent l="0" t="0" r="8255" b="635"/>
            <wp:docPr id="4" name="Рисунок 4" descr="E:\NPB\Image\image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NPB\Image\image52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95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стехиометрический коэффициент кислорода в реакции сгорания;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n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C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n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n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o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n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X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число атомов С, Н, О и галоидов в молекуле горючего;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коэффициент, учитывающий негерметичность помещения и неадиабатичность процесса горения. Допускается принимать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равным 3.</w:t>
      </w:r>
    </w:p>
    <w:p w:rsidR="004F007C" w:rsidRPr="00FA6D15" w:rsidRDefault="004F007C" w:rsidP="004F007C">
      <w:pPr>
        <w:spacing w:before="100" w:beforeAutospacing="1" w:after="100" w:afterAutospacing="1"/>
        <w:jc w:val="right"/>
        <w:rPr>
          <w:rFonts w:ascii="Arial" w:eastAsia="Times New Roman" w:hAnsi="Arial" w:cs="Arial"/>
          <w:i/>
          <w:i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 а б л и ц а 2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10"/>
        <w:gridCol w:w="1229"/>
      </w:tblGrid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Вид горючего вещества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Значение </w:t>
            </w: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Z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Водород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Горючие газы (кроме водорода)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0,5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Легковоспламеняющиеся и горючие жидкости, нагретые до температуры вспышки и выше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0,3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Легковоспламеняющиеся и горючие жидкости, нагретые ниже температуры вспышки, при наличии возможности образования аэрозоля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0,3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Легковоспламеняющиеся и горючие жидкости, нагретые ниже температуры вспышки, при отсутствии возможности образования аэрозоля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</w:tr>
    </w:tbl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11. Расчет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для индивидуальных веществ, кроме упомянутых в п. 10, а также для смесей может быть выполнен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0875F48C" wp14:editId="30335F4D">
            <wp:extent cx="1397000" cy="461010"/>
            <wp:effectExtent l="0" t="0" r="0" b="0"/>
            <wp:docPr id="5" name="Рисунок 5" descr="E:\NPB\Image\105-0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NPB\Image\105-034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                             (4)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теплота сгорания, Дж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кг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плотность воздуха до взрыва при начальной температуре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0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кг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С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теплоемкость воздуха, Дж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кг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(допускается принимать равной 1,01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10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Дж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кг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);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0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начальная температура воздуха, К.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12. В случае обращения в помещении горючих газов, легковоспламеняющихся или горючих жидкостей при определении значения массы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т,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входящей в формулы (1) и (4), допускается учитывать работу аварийной вентиляции, если она обеспечена резервными вентиляторами, автоматическим пуском при превышении предельно допустимой взрывобезопасной концентрации и электроснабжением по первой категории надежности (ПУЭ), при условии расположения устройств для удаления воздуха из помещения в непосредственной близости от места возможной аварии.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При этом массу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горючих газов или паров легковоспламеняющихся или горючих жидкостей, нагретых до температуры вспышки и выше, поступивших в объем помещения, следует разделить на коэффициент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К,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определяемый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 = АТ + 1,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            (5)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А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кратность воздухообмена, создаваемого аварийной вентиляцией, 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продолжительность поступления горючих газов и паров легковоспламеняющихся и горючих жидкостей в объем помещения, с (принимается по п. 7).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13. Масса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m,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кг, поступившего в помещение при расчетной аварии газа определяется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т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 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a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+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)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r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         (6)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а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объем газа, вышедшего из аппарата,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объем газа, вышедшего из трубопроводов,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При этом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а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0,01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                 (7)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P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давление в аппарате, кПа;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объем аппарата,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+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         (8)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1т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объем газа, вышедшего из трубопровода до его отключения,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2т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объем газа, вышедшего из трубопровода после его отключения,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1т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= qT,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                         (9)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где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q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расход газа, определяемый в соответствии с технологическим регламентом в зависимости от давления в трубопроводе, его диаметра, температуры газовой среды и т.д.,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время, определяемое по п. 7, с;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0,01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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+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+ ... +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r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n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n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),                                 (10)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где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P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максимальное давление в трубопроводе по технологическому регламенту, кПа;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внутренний радиус трубопроводов, м;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длина трубопроводов от аварийного аппарата до задвижек, м.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14. Масса паров жидкости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поступивших в помещение при наличии нескольких источников испарения (поверхность разлитой жидкости, поверхность со свеженанесенным составом, открытые емкости и т.п.), определяется из выражения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 = 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р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+ 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емк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+ 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св.окр.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,                                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(11)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р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масса жидкости, испарившейся с поверхности разлива, кг;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емк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масса жидкости, испарившейся с поверхностей открытых емкостей, кг;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св.окр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масса жидкости, испарившейся с поверхностей, на которые нанесен применяемый состав, кг.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При этом каждое из слагаемых в формуле (11) определяется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 = W F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и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T,                                    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(12)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W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интенсивность испарения, кг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F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и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– площадь испарения,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, определяемая в соответствии с п. 7 в зависимости от массы жидкости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вышедшей в помещение.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Если аварийная ситуация связана с возможным поступлением жидкости в распыленном состоянии, то она должна быть учтена в формуле (11) введением дополнительного слагаемого, учитывающего общую массу поступившей жидкости от распыляющих устройств, исходя из продолжительности их работ.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15. Масса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кг, вышедшей в помещение жидкости определяется в соответствии с п. 7.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16. Интенсивность испарения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W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определяется по справочным и экспериментальным данным. Для ненагретых выше температуры окружающей среды ЛВЖ при отсутствии данных допускается рассчитывать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W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no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W =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10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-6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</w:t>
      </w:r>
      <w:r w:rsidRPr="00FA6D15">
        <w:rPr>
          <w:rFonts w:ascii="Symbol" w:eastAsia="Times New Roman" w:hAnsi="Symbol" w:cs="Arial"/>
          <w:i/>
          <w:iCs/>
          <w:sz w:val="20"/>
          <w:szCs w:val="20"/>
          <w:lang w:eastAsia="ru-RU"/>
        </w:rPr>
        <w:t>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noProof/>
          <w:sz w:val="20"/>
          <w:szCs w:val="20"/>
          <w:lang w:eastAsia="ru-RU"/>
        </w:rPr>
        <w:drawing>
          <wp:inline distT="0" distB="0" distL="0" distR="0" wp14:anchorId="5C66A37E" wp14:editId="689AFD66">
            <wp:extent cx="278130" cy="205105"/>
            <wp:effectExtent l="0" t="0" r="7620" b="4445"/>
            <wp:docPr id="6" name="Рисунок 6" descr="E:\NPB\Image\image5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NPB\Image\image54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20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P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     (13)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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коэффициент, принимаемый по табл. 3 в зависимости от скорости и температуры воздушного потока над поверхностью испарения;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давление насыщенного пара при расчетной температуре жидкости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t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определяемое по справочным данным в соответствии с требованиями п. 3, кПа.</w:t>
      </w:r>
    </w:p>
    <w:p w:rsidR="004F007C" w:rsidRPr="00FA6D15" w:rsidRDefault="004F007C" w:rsidP="004F007C">
      <w:pPr>
        <w:spacing w:before="100" w:beforeAutospacing="1" w:after="100" w:afterAutospacing="1"/>
        <w:jc w:val="right"/>
        <w:rPr>
          <w:rFonts w:ascii="Arial" w:eastAsia="Times New Roman" w:hAnsi="Arial" w:cs="Arial"/>
          <w:i/>
          <w:i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 а б л и ц а 3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850"/>
        <w:gridCol w:w="1514"/>
        <w:gridCol w:w="1167"/>
        <w:gridCol w:w="1167"/>
        <w:gridCol w:w="1167"/>
        <w:gridCol w:w="1174"/>
      </w:tblGrid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Скорость воздушного потока в помещении, 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м</w:t>
            </w:r>
            <w:r w:rsidRPr="00FA6D15">
              <w:rPr>
                <w:rFonts w:ascii="Symbol" w:eastAsia="Times New Roman" w:hAnsi="Symbol" w:cs="Arial"/>
                <w:b/>
                <w:bCs/>
                <w:sz w:val="20"/>
                <w:szCs w:val="20"/>
                <w:lang w:eastAsia="ru-RU"/>
              </w:rPr>
              <w:t>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с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ru-RU"/>
              </w:rPr>
              <w:t>-1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Значение коэффициента </w:t>
            </w:r>
            <w:r w:rsidRPr="00FA6D15">
              <w:rPr>
                <w:rFonts w:ascii="Symbol" w:eastAsia="Times New Roman" w:hAnsi="Symbol" w:cs="Arial"/>
                <w:b/>
                <w:bCs/>
                <w:sz w:val="20"/>
                <w:szCs w:val="20"/>
                <w:lang w:eastAsia="ru-RU"/>
              </w:rPr>
              <w:t>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при температуре </w:t>
            </w: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t, </w:t>
            </w:r>
            <w:r w:rsidRPr="00FA6D15">
              <w:rPr>
                <w:rFonts w:ascii="Symbol" w:eastAsia="Times New Roman" w:hAnsi="Symbol" w:cs="Arial"/>
                <w:b/>
                <w:bCs/>
                <w:i/>
                <w:iCs/>
                <w:sz w:val="20"/>
                <w:szCs w:val="20"/>
                <w:lang w:eastAsia="ru-RU"/>
              </w:rPr>
              <w:t></w:t>
            </w: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С, 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воздуха в помещении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1,6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2,3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3,2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4,6</w:t>
            </w:r>
          </w:p>
        </w:tc>
      </w:tr>
    </w:tbl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Расчет избыточного давления взрыва для горючих пылей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 17. Расчет избыточного давления взрыва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, кПа, производится по формуле (4), где коэффициент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Z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участия взвешенной пыли во взрыве рассчитывается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Z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0,5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F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 (14)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F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массовая доля частиц пыли размером менее критического, с превышением которого аэровзвесь становится взрывобезопасной, т. е. неспособной распространять пламя. В отсутствие возможности получения сведений для оценки величины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Z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допускается принимать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Z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0,5.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18. Расчетная масса взвешенной в объеме помещения пыли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кг, образовавшейся в результате аварийной ситуации, определяется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 = 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вз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+ 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ав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(15)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вз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расчетная масса взвихрившейся пыли, кг;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ав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расчетная масса пыли, поступившей в помещение в результате аварийной ситуации, кг.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19. Расчетная масса взвихрившейся пыли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вз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определяется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вз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=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вз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,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 (16)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вз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доля отложившейся в помещении пыли, способной перейти во взвешенное состояние в результате аварийной ситуации. При отсутствии экспериментальных сведений о величине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вз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допускается полагать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вз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0,9;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масса отложившейся в помещении пыли к моменту аварии, кг.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20. Расчетная масса пыли, поступившей в помещение в результате аварийной ситуации, 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ав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определяется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ав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ап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+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qT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,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         (17)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ап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масса горючей пыли, выбрасываемой в помещение из аппарата, кг;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производительность, с которой продолжается поступление пылевидных веществ в аварийный аппарат по трубопроводам до момента их отключения, кг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время отключения, определяемое по п. 7в), с;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коэффициент пыления, представляющий отношение массы взвешенной в воздухе пыли ко всей массе пыли, поступившей из аппарата в помещение. При отсутствии экспериментальных сведений о величине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допускается полагать:</w:t>
      </w:r>
    </w:p>
    <w:p w:rsidR="004F007C" w:rsidRPr="00FA6D15" w:rsidRDefault="004F007C" w:rsidP="004F007C">
      <w:pPr>
        <w:spacing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для пылей с дисперсностью не менее 350 мкм –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0,5;</w:t>
      </w:r>
    </w:p>
    <w:p w:rsidR="004F007C" w:rsidRPr="00FA6D15" w:rsidRDefault="004F007C" w:rsidP="004F007C">
      <w:pPr>
        <w:spacing w:before="100" w:beforeAutospacing="1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для пылей с дисперсностью менее 350 мкм –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1,0.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Величина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ап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принимается в соответствии с пп. 6 и 8.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21. Масса отложившейся в помещении пыли к моменту аварии определяется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4F6503D7" wp14:editId="715121AC">
            <wp:extent cx="1141095" cy="409575"/>
            <wp:effectExtent l="0" t="0" r="1905" b="9525"/>
            <wp:docPr id="7" name="Рисунок 7" descr="E:\NPB\Image\image5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NPB\Image\image55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             (18)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lastRenderedPageBreak/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Г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доля горючей пыли в общей массе отложений пыли;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масса пыли, оседающей на труднодоступных для уборки поверхностях в помещении за период времени между генеральными уборками, кг;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масса пыли, оседающей на доступных для уборки поверхностях в помещении за период времени между текущими уборками, кг;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у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коэффициент эффективности пылеуборки. Принимается при ручной пылеуборке: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сухой – 0,6;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влажной – 0,7.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При механизированной вакуумной уборке: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пол ровный – 0,9;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пол с выбоинами (до 5 % площади) – 0,7.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Под труднодоступными для уборки площадями подразумевают такие поверхности в производственных помещениях, очистка которых осуществляется только при генеральных пылеуборках. Доступными для уборки местами являются поверхности, пыль с которых удаляется в процессе текущих пылеуборок (ежесменно, ежесуточно и т. п.).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22. Масса пыли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1,2), оседающей на различных поверхностях в помещении за межуборочный период, определяется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(1 -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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)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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1,2)                         (19)</w:t>
      </w:r>
    </w:p>
    <w:p w:rsidR="004F007C" w:rsidRPr="00FA6D15" w:rsidRDefault="004F007C" w:rsidP="004F007C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</w:t>
      </w: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24FFF26D" wp14:editId="0A04097B">
            <wp:extent cx="467995" cy="387985"/>
            <wp:effectExtent l="0" t="0" r="0" b="0"/>
            <wp:docPr id="8" name="Рисунок 8" descr="E:\NPB\Image\105-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NPB\Image\105-32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– масса пыли, выделяющаяся в объем помещения за период времени между генеральными пылеуборками, кг;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j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масса пыли, выделяемая единицей пылящего оборудования за указанный период, кг;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</w:t>
      </w:r>
      <w:r w:rsidRPr="00FA6D1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93DFB77" wp14:editId="09E4E7F7">
            <wp:extent cx="600075" cy="461010"/>
            <wp:effectExtent l="0" t="0" r="0" b="0"/>
            <wp:docPr id="9" name="Рисунок 9" descr="E:\NPB\Image\Image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NPB\Image\Image100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масса пыли, выделяющаяся в объем помещения за период времени между текущими пылеуборками, кг;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2j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масса пыли, выделяемая единицей пылящего оборудования за указанный период, кг;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</w:t>
      </w:r>
      <w:r w:rsidRPr="00FA6D15">
        <w:rPr>
          <w:rFonts w:ascii="Symbol" w:eastAsia="Times New Roman" w:hAnsi="Symbol" w:cs="Arial"/>
          <w:i/>
          <w:iCs/>
          <w:sz w:val="20"/>
          <w:szCs w:val="20"/>
          <w:lang w:eastAsia="ru-RU"/>
        </w:rPr>
        <w:t>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– доля выделяющейся в объем помещения пыли, которая удаляется вытяжными вентиляционными системами. При отсутствии экспериментальных сведений о величине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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полагают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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0;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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</w:t>
      </w:r>
      <w:r w:rsidRPr="00FA6D15">
        <w:rPr>
          <w:rFonts w:ascii="Symbol" w:eastAsia="Times New Roman" w:hAnsi="Symbol" w:cs="Arial"/>
          <w:i/>
          <w:iCs/>
          <w:sz w:val="20"/>
          <w:szCs w:val="20"/>
          <w:lang w:eastAsia="ru-RU"/>
        </w:rPr>
        <w:t>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доли выделяющейся в объем помещения пыли, оседающей соответственно на труднодоступных и доступных для уборки поверхностях помещения (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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+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</w:t>
      </w:r>
      <w:r w:rsidRPr="00FA6D15">
        <w:rPr>
          <w:rFonts w:ascii="Symbol" w:eastAsia="Times New Roman" w:hAnsi="Symbol" w:cs="Arial"/>
          <w:i/>
          <w:iCs/>
          <w:sz w:val="20"/>
          <w:szCs w:val="20"/>
          <w:lang w:eastAsia="ru-RU"/>
        </w:rPr>
        <w:t>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=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1).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При отсутствии сведений о величине коэффициентов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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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допускается полагать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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1,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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0.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23. Величина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1,2) может быть также определена экспериментально (или по аналогии с действующими образцами производств) в период максимальной загрузки оборудования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2880E370" wp14:editId="73A20F2F">
            <wp:extent cx="1163320" cy="343535"/>
            <wp:effectExtent l="0" t="0" r="0" b="0"/>
            <wp:docPr id="10" name="Рисунок 10" descr="E:\NPB\Image\105-9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NPB\Image\105-936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320" cy="34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 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i =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1,2)                                     (20)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G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j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, G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j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–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интенсивность пылеотложений соответственно на труднодоступных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F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j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(м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) и доступных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F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j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(м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 площадях, кг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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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промежуток времени соответственно между генеральными и текущими пылеуборками, с.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Определение категорий В1–В4 помещений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24. Определение пожароопасной категории помещения осуществляется путем сравнения максимального значения удельной временной пожарной нагрузки (далее по тексту — пожарная нагрузка) на любом из участков с величиной удельной пожарной нагрузки, приведенной в табл. 4.</w:t>
      </w:r>
    </w:p>
    <w:p w:rsidR="004F007C" w:rsidRPr="00FA6D15" w:rsidRDefault="004F007C" w:rsidP="004F007C">
      <w:pPr>
        <w:spacing w:before="100" w:beforeAutospacing="1" w:after="100" w:afterAutospacing="1"/>
        <w:jc w:val="right"/>
        <w:rPr>
          <w:rFonts w:ascii="Arial" w:eastAsia="Times New Roman" w:hAnsi="Arial" w:cs="Arial"/>
          <w:i/>
          <w:i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 а б л и ц а 4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66"/>
        <w:gridCol w:w="2674"/>
        <w:gridCol w:w="5699"/>
      </w:tblGrid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Категория 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помещения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 xml:space="preserve">Удельная пожарная 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нагрузка g на участке, МДж</w:t>
            </w:r>
            <w:r w:rsidRPr="00FA6D15">
              <w:rPr>
                <w:rFonts w:ascii="Symbol" w:eastAsia="Times New Roman" w:hAnsi="Symbol" w:cs="Arial"/>
                <w:b/>
                <w:bCs/>
                <w:sz w:val="20"/>
                <w:szCs w:val="20"/>
                <w:lang w:eastAsia="ru-RU"/>
              </w:rPr>
              <w:t>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м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ru-RU"/>
              </w:rPr>
              <w:t>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Способ размещения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В1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Более 2200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 нормируется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1401 - 2200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См. п. 25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181 - 1400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 же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1 - 180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любом участке пола помещения площадью 10 м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2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. 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Способ размещения участков пожарной нагрузки определяется согласно п. 25</w:t>
            </w:r>
          </w:p>
        </w:tc>
      </w:tr>
    </w:tbl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 25. При пожарной нагрузке, включающей в себя различные сочетания (смесь) горючих, трудногорючих жидкостей, твердых горючих и трудногорючих веществ и материалов в пределах пожароопасного участка, пожарная нагрузка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МДж, определяется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042FB640" wp14:editId="356F63C8">
            <wp:extent cx="987425" cy="504825"/>
            <wp:effectExtent l="0" t="0" r="3175" b="9525"/>
            <wp:docPr id="11" name="Рисунок 11" descr="E:\NPB\Image\105-0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NPB\Image\105-036.gif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                     (21)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G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i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количество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-го материала пожарной нагрузки, кг;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p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нi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низшая теплота сгорания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-го материала пожарной нагрузки, МДж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кг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Удельная пожарная нагрузка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g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МДж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определяется из соотношения</w:t>
      </w:r>
    </w:p>
    <w:p w:rsidR="004F007C" w:rsidRPr="00FA6D15" w:rsidRDefault="004F007C" w:rsidP="004F007C">
      <w:pPr>
        <w:spacing w:beforeAutospacing="1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3A571CD4" wp14:editId="3AF9D0B3">
            <wp:extent cx="424180" cy="387985"/>
            <wp:effectExtent l="0" t="0" r="0" b="0"/>
            <wp:docPr id="12" name="Рисунок 12" descr="E:\NPB\Image\105-0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NPB\Image\105-037.g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80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          (22)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S –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площадь размещения пожарной нагрузки,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(но не менее 10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В помещениях категорий В1–В4 допускается наличие нескольких участков с пожарной нагрузкой, не превышающей значений, приведенных в табл. 4. В помещениях категории В4 расстояния между этими участками должны быть более предельных. В табл. 5 приведены рекомендуемые значения предельных расстояний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в зависимости от величины критической плотности падающих лучистых потоков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кр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кВт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, для пожарной нагрузки, состоящей из твердых горючих и трудногорючих материалов. Значения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, приведенные в табл. 5, рекомендуются при условии, если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&gt; 11 м; если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&lt; 11 м, то предельное расстояние определяется как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+ (11 -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), 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определяется из таблицы 5,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минимальное расстояние от поверхности пожарной нагрузки до нижнего пояса ферм перекрытия (покрытия), м.</w:t>
      </w:r>
    </w:p>
    <w:p w:rsidR="004F007C" w:rsidRPr="00FA6D15" w:rsidRDefault="004F007C" w:rsidP="004F007C">
      <w:pPr>
        <w:spacing w:before="100" w:beforeAutospacing="1" w:after="100" w:afterAutospacing="1"/>
        <w:jc w:val="right"/>
        <w:rPr>
          <w:rFonts w:ascii="Arial" w:eastAsia="Times New Roman" w:hAnsi="Arial" w:cs="Arial"/>
          <w:i/>
          <w:i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 а б л и ц а 5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40"/>
        <w:gridCol w:w="831"/>
        <w:gridCol w:w="831"/>
        <w:gridCol w:w="832"/>
        <w:gridCol w:w="832"/>
        <w:gridCol w:w="832"/>
        <w:gridCol w:w="978"/>
        <w:gridCol w:w="978"/>
        <w:gridCol w:w="985"/>
      </w:tblGrid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q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vertAlign w:val="subscript"/>
                <w:lang w:eastAsia="ru-RU"/>
              </w:rPr>
              <w:t>кр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кВт</w:t>
            </w:r>
            <w:r w:rsidRPr="00FA6D15">
              <w:rPr>
                <w:rFonts w:ascii="Symbol" w:eastAsia="Times New Roman" w:hAnsi="Symbol" w:cs="Arial"/>
                <w:sz w:val="20"/>
                <w:szCs w:val="20"/>
                <w:lang w:eastAsia="ru-RU"/>
              </w:rPr>
              <w:t>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l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vertAlign w:val="subscript"/>
                <w:lang w:eastAsia="ru-RU"/>
              </w:rPr>
              <w:t>пр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2,8</w:t>
            </w:r>
          </w:p>
        </w:tc>
      </w:tr>
    </w:tbl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 Значения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кр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для некоторых материалов пожарной нагрузки приведены в табл. 6.</w:t>
      </w:r>
    </w:p>
    <w:p w:rsidR="004F007C" w:rsidRPr="00FA6D15" w:rsidRDefault="004F007C" w:rsidP="004F007C">
      <w:pPr>
        <w:spacing w:before="100" w:beforeAutospacing="1" w:after="100" w:afterAutospacing="1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 а б л и ц а 6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122"/>
        <w:gridCol w:w="1917"/>
      </w:tblGrid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Материал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q</w:t>
            </w: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vertAlign w:val="subscript"/>
                <w:lang w:eastAsia="ru-RU"/>
              </w:rPr>
              <w:t>кр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, кВт</w:t>
            </w:r>
            <w:r w:rsidRPr="00FA6D15">
              <w:rPr>
                <w:rFonts w:ascii="Symbol" w:eastAsia="Times New Roman" w:hAnsi="Symbol" w:cs="Arial"/>
                <w:b/>
                <w:bCs/>
                <w:sz w:val="20"/>
                <w:szCs w:val="20"/>
                <w:lang w:eastAsia="ru-RU"/>
              </w:rPr>
              <w:t>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м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ru-RU"/>
              </w:rPr>
              <w:t>-2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Древесина (сосна влажностью 12 %)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13,9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Древесно-стружечные плиты (плотностью 417 кг</w:t>
            </w:r>
            <w:r w:rsidRPr="00FA6D15">
              <w:rPr>
                <w:rFonts w:ascii="Symbol" w:eastAsia="Times New Roman" w:hAnsi="Symbol" w:cs="Arial"/>
                <w:sz w:val="20"/>
                <w:szCs w:val="20"/>
                <w:lang w:eastAsia="ru-RU"/>
              </w:rPr>
              <w:t>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-3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8,3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Торф брикетный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13,2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Торф кусковой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9,8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Хлопок-волокно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7,5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Слоистый пластик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15,4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Стеклопластик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15,3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Пергамин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17,4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14,8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Уголь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35,0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Рулонная кровля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17,4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Сено, солома (при минимальной влажности до 8 %)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7,0</w:t>
            </w:r>
          </w:p>
        </w:tc>
      </w:tr>
    </w:tbl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 Если пожарная нагрузка состоит из различных материалов, то значение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кр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определяется по материалу с минимальным значением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кр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Для материалов пожарной нагрузки с неизвестными значениями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кр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значения предельных расстояний принимаются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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12 м.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Для пожарной нагрузки, состоящей из ЛВЖ или ГЖ, рекомендуемое расстояние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между соседними участками размещения (разлива) пожарной нагрузки рассчитывается по формулам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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15 м при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Н </w:t>
      </w:r>
      <w:r w:rsidRPr="00FA6D15">
        <w:rPr>
          <w:rFonts w:ascii="Symbol" w:eastAsia="Times New Roman" w:hAnsi="Symbol" w:cs="Arial"/>
          <w:i/>
          <w:iCs/>
          <w:sz w:val="20"/>
          <w:szCs w:val="20"/>
          <w:lang w:eastAsia="ru-RU"/>
        </w:rPr>
        <w:t>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11,                                 (23)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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26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- H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при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&lt;11.                                             (24)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 Если при определении категорий В2 или В3 количество пожарной нагрузки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определенное по формуле 21, отвечает неравенству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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0,64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g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,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то помещение будет относиться к категориям В1 или В2 соответственно. Здесь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g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=2200 МДж/м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при</w:t>
      </w:r>
      <w:r w:rsidRPr="00FA6D15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1401 МДж/м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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g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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2200 МДж/м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g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=1400 МДж/м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-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при 181 МДж/м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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g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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1400 МДж/м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Определение избыточного давления взрыва для веществ и материалов, способных взрываться и гореть при взаимодействии с водой, кислородом воздуха или друг с другом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 26. Расчетное избыточное давление взрыва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для веществ и материалов, способных взрываться и гореть при взаимодействии с водой, кислородом воздуха или друг с другом, определяется по приведенной выше методике, полагая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Z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1 и принимая в качестве величины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энергию, выделяющуюся при взаимодействии (с учетом сгорания продуктов взаимодействия до конечных соединений), или экспериментально в натурных испытаниях. В случае когда определить величину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не представляется возможным, следует принимать ее превышающей 5 кПа.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Определение избыточного давления взрыва для взрывоопасных смесей, содержащих горючие газы (пары) и пыли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 27. Расчетное избыточное давление взрыва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для гибридных взрывоопасных смесей, содержащих горючие газы (пары) и пыли, определяется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Symbol" w:eastAsia="Times New Roman" w:hAnsi="Symbol" w:cs="Arial"/>
          <w:i/>
          <w:iCs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Р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=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+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     (25)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давление взрыва, вычисленное для горючего газа (пара) в соответствии с пп. 10 и 11;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давление взрыва, вычисленное для горючей пыли в соответствии с п. 17.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bookmarkStart w:id="4" w:name="4"/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</w:t>
      </w:r>
      <w:bookmarkEnd w:id="4"/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. КАТЕГОРИИ ЗДАНИЙ ПО ВЗРЫВОПОЖАРНОЙ И ПОЖАРНОЙ ОПАСНОСТИ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28. Здание относится к категории А, если в нем суммарная площадь помещений категории А превышает 5% площади всех помещений или 200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Допускается не относить здание к категории А, если суммарная площадь помещений категории А в здании не превышает 25 % суммарной площади всех размещенных в нем помещений (но не более 1000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 и эти помещения оборудуются установками автоматического пожаротушения.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lastRenderedPageBreak/>
        <w:t>29. Здание относится к категории Б, если одновременно выполнены два условия:</w:t>
      </w:r>
    </w:p>
    <w:p w:rsidR="004F007C" w:rsidRPr="00FA6D15" w:rsidRDefault="004F007C" w:rsidP="004F007C">
      <w:pPr>
        <w:spacing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здание не относится к категории А;</w:t>
      </w:r>
    </w:p>
    <w:p w:rsidR="004F007C" w:rsidRPr="00FA6D15" w:rsidRDefault="004F007C" w:rsidP="004F007C">
      <w:pPr>
        <w:spacing w:before="100" w:beforeAutospacing="1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суммарная площадь помещений категорий А и Б превышает 5 % суммарной площади всех помещений или 200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Допускается не относить здание к категории Б, если суммарная площадь помещений категорий А и Б в здании не превышает 25 % суммарной площади всех размещенных в нем помещений (но не более 1000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 и эти помещения оборудуются установками автоматического пожаротушения.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30. Здание относится к категории В, если одновременно выполнены два условия:</w:t>
      </w:r>
    </w:p>
    <w:p w:rsidR="004F007C" w:rsidRPr="00FA6D15" w:rsidRDefault="004F007C" w:rsidP="004F007C">
      <w:pPr>
        <w:spacing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здание не относится к категориям А или Б;</w:t>
      </w:r>
    </w:p>
    <w:p w:rsidR="004F007C" w:rsidRPr="00FA6D15" w:rsidRDefault="004F007C" w:rsidP="004F007C">
      <w:pPr>
        <w:spacing w:before="100" w:beforeAutospacing="1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суммарная площадь помещений категорий А, Б и В превышает 5 % (10 %, если в здании отсутствуют помещения категорий А и Б) суммарной площади всех помещений.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Допускается не относить здание к категории В, если суммарная площадь помещений категорий А, Б и В в здании не превышает 25 % суммарной площади всех размещенных в нем помещений (но не более 3500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 и эти помещения оборудуются установками автоматического пожаротушения.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31. Здание относится к категории Г, если одновременно выполнены два условия:</w:t>
      </w:r>
    </w:p>
    <w:p w:rsidR="004F007C" w:rsidRPr="00FA6D15" w:rsidRDefault="004F007C" w:rsidP="004F007C">
      <w:pPr>
        <w:spacing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здание не относится к категориям А, Б или В;</w:t>
      </w:r>
    </w:p>
    <w:p w:rsidR="004F007C" w:rsidRPr="00FA6D15" w:rsidRDefault="004F007C" w:rsidP="004F007C">
      <w:pPr>
        <w:spacing w:before="100" w:beforeAutospacing="1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суммарная площадь помещений категорий А, Б, В и Г превышает 5 % суммарной площади всех помещений.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Допускается не относить здание к категории Г, если суммарная площадь помещений категорий А, Б, В и Г в здании не превышает 25 % суммарной площади всех размещенных в нем помещений (но не более 5000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 и помещения категорий А, Б, В оборудуются установками автоматического пожаротушения.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32. Здание относится к категории Д, если оно не относится к категориям А, Б, В или Г.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bookmarkStart w:id="5" w:name="5"/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5</w:t>
      </w:r>
      <w:bookmarkEnd w:id="5"/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. КАТЕГОРИИ НАРУЖНЫХ УСТАНОВОК ПО ПОЖАРНОЙ ОПАСНОСТИ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33. Категории наружных установок по пожарной опасности принимаются в соответствии с табл. 7.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34. Определение категорий наружных установок следует осуществлять путем последовательной проверки их принадлежности к категориям, приведенным в табл. 7, от высшей 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А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 к низшей 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Д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35. В случае, если из-за отсутствия данных представляется невозможным оценить величину индивидуального риска, допускается использование вместо нее следующих критериев.</w:t>
      </w:r>
    </w:p>
    <w:p w:rsidR="004F007C" w:rsidRPr="00FA6D15" w:rsidRDefault="004F007C" w:rsidP="004F007C">
      <w:pPr>
        <w:spacing w:before="100" w:beforeAutospacing="1" w:after="100" w:afterAutospacing="1"/>
        <w:jc w:val="right"/>
        <w:rPr>
          <w:rFonts w:ascii="Arial" w:eastAsia="Times New Roman" w:hAnsi="Arial" w:cs="Arial"/>
          <w:i/>
          <w:i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 а б л и ц а 7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19"/>
        <w:gridCol w:w="8480"/>
      </w:tblGrid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Категория наружной установки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Критерии отнесения наружной установки к той или иной категории по пожарной опасности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А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Установка относится к категории 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А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н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если в ней присутствуют (хранятся, перерабатываются, транспортируются) горючие газы; легковоспламеняющиеся жидкости с температурой вспышки не более 28 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о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С; вещества и/или материалы, способные гореть при взаимодействии с водой, кислородом воздуха и /или друг с другом; при условии, что величина индивидуального риска при возможном сгорании указанных веществ с образованием волн давления превышает 10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 xml:space="preserve">-6 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год на расстоянии 30 м от наружной установки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lastRenderedPageBreak/>
              <w:t>Б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Установка относится к категории 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Б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н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если в ней присутствуют (хранятся, перерабатываются, транспортируются) горючие пыли и/или волокна; легковоспламеняющиеся жидкости с температурой вспышки более 28 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о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С; горючие жидкости; при условии, что величина индивидуального риска при возможном сгорании пыле- и/или паровоздушных смесей с образованием волн давления превышает 10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 xml:space="preserve">-6 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год на расстоянии 30 м от наружной установки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В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Установка относится к категории 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В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н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если в ней присутствуют (хранятся, перерабатываются, транспортируются) горючие и/или трудногорючие жидкости; твердые горючие и/или трудногорючие вещества и/или материалы (в том числе пыли и/или волокна); вещества и/или материалы, способные при взаимодействии с водой, кислородом воздуха и/или друг с другом гореть; не реализуются критерии, позволяющие отнести установку к категориям 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А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 xml:space="preserve">н 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или 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Б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н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 при условии, что величина индивидуального риска при возможном сгорании указанных веществ и/или материалов превышает 10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 xml:space="preserve">-6 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год на расстоянии 30 м от наружной установки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Г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Установка относится к категории 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Г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н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если в ней присутствуют (хранятся, перерабатываются, транспортируются) негорючие вещества и/или материалы в горячем, раскаленном и/или расплавленном состоянии, процесс обработки которых сопровождается выделением лучистого тепла, искр и/или пламени, а также горючие газы, жидкости и/или твердые вещества, которые сжигаются или утилизируются в качестве топлива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Д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Установка относится к категории 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Д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н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если в ней присутствуют (хранятся, перерабатываются, транспортируются) в основном негорючие вещества и/или материалы в холодном состоянии и по перечисленным выше критериям она не относится к категориям 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А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н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Б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н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В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н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Г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н</w:t>
            </w:r>
          </w:p>
        </w:tc>
      </w:tr>
    </w:tbl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Для категорий А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и Б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горизонтальный размер зоны, ограничивающей газопаровоздушные смеси с концентрацией горючего выше нижнего концентрационного предела распространения пламени (НКПР), превышает 30 м (данный критерий применяется только для горючих газов и паров) и/или расчетное избыточное давление при сгорании газо-, паро- или пылевоздушной смеси на расстоянии 30 м от наружной установки превышает 5 кПа.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Для категории Вн: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интенсивность теплового излучения от очага пожара веществ и/или материалов, указанных для категории Вн, на расстоянии 30 м от наружной установки превышает 4 кВт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bookmarkStart w:id="6" w:name="6"/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6</w:t>
      </w:r>
      <w:bookmarkEnd w:id="6"/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. МЕТОДЫ РАСЧЕТА ЗНАЧЕНИЙ КРИТЕРИЕВ ПОЖАРНОЙ ОПАСНОСТИ НАРУЖНЫХ УСТАНОВОК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Методы расчета значений критериев пожарной опасности для горючих газов и паров Выбор и обоснование расчетного варианта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36. Выбор расчетного варианта следует осуществлять с учетом годовой частоты реализации и последствий тех или иных аварийных ситуаций. В качестве расчетного для вычисления критериев пожарной опасности для горючих газов и паров следует принимать вариант аварии, для которого произведение годовой частоты реализации этого варианта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w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и расчетного избыточного давления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при сгорании газопаровоздушных смесей в случае реализации указанного варианта максимально, то есть: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G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w</w:t>
      </w:r>
      <w:r w:rsidRPr="00FA6D15">
        <w:rPr>
          <w:rFonts w:ascii="Symbol" w:eastAsia="Times New Roman" w:hAnsi="Symbol" w:cs="Arial"/>
          <w:sz w:val="20"/>
          <w:szCs w:val="20"/>
          <w:vertAlign w:val="sub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P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=max.                             (26)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Расчет величины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G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производится следующим образом: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а) рассматриваются различные варианты аварии и определяются из статистических данных или на основе годовой частоты аварий со сгоранием газопаровоздушных смесей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wi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для этих вариантов;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lastRenderedPageBreak/>
        <w:t xml:space="preserve">б) для каждого из рассматриваемых вариантов определяются по изложенной ниже методике значения расчетного избыточного давления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P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 xml:space="preserve">i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в) вычисляются величины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G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i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=Q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wi·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P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для каждого из рассматриваемых вариантов аварии, среди которых выбирается вариант с наибольшим значением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G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г) в качестве расчетного для определения критериев пожарной опасности принимается вариант, в котором величина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G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максимальна. При этом количество горючих газов и паров, вышедших в атмосферу, рассчитывается, исходя из рассматриваемого сценария аварии с учетом пунктов 38-43.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37. При невозможности реализации описанного выше метода в качестве расчетного следует выбирать наиболее неблагоприятный вариант аварии или период нормальной работы аппаратов, при котором в образовании горючих газопаровоздушных смесей участвует наибольшее количество газов и паров, наиболее опасных в отношении последствий сгорания этих смесей. В этом случае количество газов и паров, вышедших в атмосферу, рассчитывается в соответствии с пунктами 38-43.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38. Количество поступивших веществ, которые могут образовывать горючие газовоздушные или паровоздушные смеси, определяется, исходя из следующих предпосылок: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а) происходит расчетная авария одного из аппаратов согласно п. 36 или п. 37 (в зависимости от того, какой из подходов к определению расчетного варианта аварии принят за основу);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б) все содержимое аппарата поступает в окружающее пространство;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в) происходит одновременно утечка веществ из трубопроводов, питающих аппарат по прямому и обратному потоку в течение времени, необходимого для отключения трубопроводов.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Расчетное время отключения трубопроводов определяется в каждом конкретном случае, исходя из реальной обстановки, и должно быть минимальным с учетом паспортных данных на запорные устройства, характера технологического процесса и вида расчетной аварии.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Расчетное время отключения трубопроводов следует принимать равным: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времени срабатывания систем автоматики отключения трубопроводов согласно паспортным данным установки, если вероятность отказа системы автоматики не превышает 0,000001 в год или обеспечено резервирование ее элементов (но не более 120 с);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120 с, если вероятность отказа системы автоматики превышает 0,000001 в год и не обеспечено резервирование ее элементов;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300 с при ручном отключении.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Не допускается использование технических средств для отключения трубопроводов, для которых время отключения превышает приведенные выше значения.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Под “временем срабатывания” и “временем отключения” следует понимать промежуток времени от начала возможного поступления горючего вещества из трубопровода (перфорация, разрыв, изменение номинального давления и т. п.) до полного прекращения поступления газа или жидкости в окружающее пространство. Быстродействующие клапаны-отсекатели должны автоматически перекрывать подачу газа или жидкости при нарушении электроснабжения.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В исключительных случаях в установленном порядке допускается превышение приведенных выше значений времени отключения трубопроводов специальным решением соответствующих министерств или ведомств по согласованию с Госгортехнадзором России на подконтрольных ему производствах и предприятиях и МЧС России;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г) происходит испарение с поверхности разлившейся жидкости; площадь испарения при разливе на горизонтальную поверхность определяется (при отсутствии справочных или иных экспериментальных данных), исходя из расчета, что 1 л смесей и растворов, содержащих 70 % и менее (по массе) растворителей, разливается на площади 0,10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а остальных жидкостей – на 0,15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д) происходит также испарение жидкостей из емкостей, эксплуатируемых с открытым зеркалом жидкости, и со свежеокрашенных поверхностей;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е) длительность испарения жидкости принимается равной времени ее полного испарения, но не более 3600 с.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39. Масса газа m, кг, поступившего в окружающее пространство при расчетной аварии, определяется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m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a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+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)·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г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 (27)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a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объем газа, вышедшего из аппарата,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; 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объем газа вышедшего из трубопровода,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г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- плотность газа, кг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При этом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a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=0,01·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1·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         (28)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давление в аппарате, кПа;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V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– объем аппарата,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+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     (29)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1т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– объем газа, вышедшего из трубопровода до его отключения,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объем газа, вышедшего из трубопровода после его отключения,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1т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=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Symbol" w:eastAsia="Times New Roman" w:hAnsi="Symbol" w:cs="Arial"/>
          <w:i/>
          <w:iCs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T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         (30)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расход газа, определяемый в соответствии с технологическим регламентом в зависимости от давления в трубопроводе, его диаметра, температуры газовой среды и т. д.,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время, определяемое по п. 38, с;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2F33924E" wp14:editId="68807467">
            <wp:extent cx="2392045" cy="241300"/>
            <wp:effectExtent l="0" t="0" r="0" b="6350"/>
            <wp:docPr id="13" name="Рисунок 13" descr="E:\NPB\Image\105-03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NPB\Image\105-038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04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 (31)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максимальное давление в трубопроводе по технологическому регламенту, кПа;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внутренний радиус трубопроводов, м;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длина трубопроводов от аварийного аппарата до задвижек, м.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40. Масса паров жидкости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кг, поступивших в окружающее пространство при наличии нескольких источников испарения (поверхность разлитой жидкости, поверхность со свеженанесенным составом, открытые емкости и т. п.), определяется из выражения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+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емк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+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св.окр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+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пер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 (32)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масса жидкости, испарившейся с поверхности разлива, кг;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емк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– масса жидкости, испарившейся с поверхностей открытых емкостей, кг;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св.окр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масса жидкости, испарившейся с поверхностей, на которые нанесен применяемый состав, кг;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пер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– масса жидкости, испарившейся в окружающее пространство в случае ее перегрева, кг.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При этом каждое из слагаемых 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емк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св.окp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 в формуле (32) определяют из выражения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W</w:t>
      </w:r>
      <w:r w:rsidRPr="00FA6D15">
        <w:rPr>
          <w:rFonts w:ascii="Symbol" w:eastAsia="Times New Roman" w:hAnsi="Symbol" w:cs="Arial"/>
          <w:i/>
          <w:iCs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F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и </w:t>
      </w:r>
      <w:r w:rsidRPr="00FA6D15">
        <w:rPr>
          <w:rFonts w:ascii="Symbol" w:eastAsia="Times New Roman" w:hAnsi="Symbol" w:cs="Arial"/>
          <w:sz w:val="20"/>
          <w:szCs w:val="20"/>
          <w:vertAlign w:val="sub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 (33)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W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интенсивность испарения, кг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F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и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– площадь испарения,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, определяемая в соответствии с п. 38 в зависимости от массы жидкости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, вышедшей в окружающее пространство;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Т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– продолжительность поступления паров легковоспламеняющихся и горючих жидкостей в окружающее пространство согласно п. 38, с.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Величину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пер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определяют по формуле (при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а</w:t>
      </w:r>
      <w:r w:rsidRPr="00FA6D15">
        <w:rPr>
          <w:rFonts w:ascii="Symbol" w:eastAsia="Times New Roman" w:hAnsi="Symbol" w:cs="Arial"/>
          <w:sz w:val="20"/>
          <w:szCs w:val="20"/>
          <w:vertAlign w:val="subscript"/>
          <w:lang w:eastAsia="ru-RU"/>
        </w:rPr>
        <w:t>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кип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4CD87D65" wp14:editId="284F695B">
            <wp:extent cx="2655570" cy="570865"/>
            <wp:effectExtent l="0" t="0" r="0" b="0"/>
            <wp:docPr id="14" name="Рисунок 14" descr="E:\NPB\Image\105-8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NPB\Image\105-836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 (34)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масса вышедшей перегретой жидкости, кг;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–удельная теплоемкость жидкости при температуре перегрева жидкости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а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Дж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кг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а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температура перегретой жидкости в соответствии с технологическим регламентом в технологическом аппарате или оборудовании, К;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кип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нормальная температура кипения жидкости, К;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исп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удельная теплота испарения жидкости при температуре перегрева жидкости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а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, Дж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кг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Если аварийная ситуация связана с возможным поступлением жидкости в распыленном состоянии, то она должна быть учтена в формуле (32) введением дополнительного слагаемого, учитывающего общую массу поступившей жидкости от распыляющих устройств, исходя из продолжительности их работы.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41. Масса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вышедшей жидкости, кг, определяется в соответствии с п. 38.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42. Интенсивность испарения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W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определяется по справочным и экспериментальным данным. Для ненагретых ЛВЖ при отсутствии данных допускается рассчитывать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W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577A7C31" wp14:editId="10FB35C7">
            <wp:extent cx="1228725" cy="314325"/>
            <wp:effectExtent l="0" t="0" r="9525" b="9525"/>
            <wp:docPr id="15" name="Рисунок 15" descr="E:\NPB\Image\105-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NPB\Image\105-36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     (35)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молярная масса, 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моль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давление насыщенного пара при расчетной температуре жидкости, определяемое по справочным данным в соответствии с требованиями п. 3, кПа.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43. Для сжиженных углеводородных газов (СУГ) при отсутствии данных допускается рассчитывать удельную массу испарившегося СУГ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суг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из пролива, кг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5608AD61" wp14:editId="25F0545B">
            <wp:extent cx="3437890" cy="482600"/>
            <wp:effectExtent l="0" t="0" r="0" b="0"/>
            <wp:docPr id="16" name="Рисунок 16" descr="E:\NPB\Image\105-03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NPB\Image\105-0311.gi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89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     (36)</w:t>
      </w:r>
    </w:p>
    <w:p w:rsidR="004F007C" w:rsidRPr="00FA6D15" w:rsidRDefault="004F007C" w:rsidP="004F007C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молярная масса СУГ, кг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моль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</w:t>
      </w:r>
      <w:r w:rsidRPr="00FA6D15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исп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мольная теплота испарения СУГ при начальной температуре СУГ Т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ж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Дж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моль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0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начальная температура материала, на поверхность которого разливается СУГ, К;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ж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начальная температура СУГ, К;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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коэффициент теплопроводности материала, на поверхность которого разливается СУГ, Вт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63F084B8" wp14:editId="1D208074">
            <wp:extent cx="987425" cy="534035"/>
            <wp:effectExtent l="0" t="0" r="3175" b="0"/>
            <wp:docPr id="17" name="Рисунок 17" descr="E:\NPB\Image\105-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NPB\Image\105-34.gif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– коэффициент температуропроводности материала, на поверхность которого разливается СУГ,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теплоемкость материала, на поверхность которого разливается СУГ, Дж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кг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плотность материала, на поверхность которого разливается СУГ, кг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t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текущее время, с, принимаемое равным времени полного испарения СУГ, но не более 3600 с; </w:t>
      </w: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54F71837" wp14:editId="2668E4CD">
            <wp:extent cx="577850" cy="482600"/>
            <wp:effectExtent l="0" t="0" r="0" b="0"/>
            <wp:docPr id="18" name="Рисунок 18" descr="E:\NPB\Image\105-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NPB\Image\105-35.gif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– число Рейнольдса;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U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скорость воздушного потока, м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709E2367" wp14:editId="7DC1178E">
            <wp:extent cx="577850" cy="380365"/>
            <wp:effectExtent l="0" t="0" r="0" b="635"/>
            <wp:docPr id="19" name="Рисунок 19" descr="E:\NPB\Image\image6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NPB\Image\image67.gif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– характерный размер пролива СУГ, м;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кинематическая вязкость воздуха,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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коэффициент теплопроводности воздуха, Вт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4F007C" w:rsidRPr="00FA6D15" w:rsidRDefault="004F007C" w:rsidP="004F007C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Формула 36 справедлива для СУГ с температурой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ж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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кип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. При температуре СУГ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ж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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кип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дополнительно рассчитывается масса перегретых СУГ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пер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по формуле 34.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Расчет горизонтальных размеров зон, ограничивающих газо- и паровоздушные смеси с концентрацией горючего выше НКПР, при аварийном поступлении горючих газов и паров ненагретых легковоспламеняющихся жидкостей в открытое пространство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44. Горизонтальные размеры зоны, м, ограничивающие область концентраций, превышающих нижний концентрационный предел распространения пламени 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), вычисляют по формулам: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для горючих газов (ГГ):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207B5096" wp14:editId="35CF434A">
            <wp:extent cx="1799590" cy="424180"/>
            <wp:effectExtent l="0" t="0" r="0" b="0"/>
            <wp:docPr id="20" name="Рисунок 20" descr="E:\NPB\Image\105-03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NPB\Image\105-0312.gif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 (37)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для паров ненагретых легковоспламеняющихся жидкостей (ЛВЖ):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7"/>
          <w:szCs w:val="27"/>
          <w:lang w:eastAsia="ru-RU"/>
        </w:rPr>
        <w:drawing>
          <wp:inline distT="0" distB="0" distL="0" distR="0" wp14:anchorId="3D68C04A" wp14:editId="76A5B909">
            <wp:extent cx="2626360" cy="424180"/>
            <wp:effectExtent l="0" t="0" r="2540" b="0"/>
            <wp:docPr id="21" name="Рисунок 21" descr="E:\NPB\Image\105-03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NPB\Image\105-0313.gif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     (38)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4157D095" wp14:editId="60E9BF17">
            <wp:extent cx="1485265" cy="424180"/>
            <wp:effectExtent l="0" t="0" r="635" b="0"/>
            <wp:docPr id="22" name="Рисунок 22" descr="E:\NPB\Image\105-03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NPB\Image\105-0314.gif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65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г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– масса поступивших в открытое пространство ГГ при аварийной ситуации, кг;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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г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– плотность ГГ при расчетной температуре и атмосферном давлении, кг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-3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п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– масса паров ЛВЖ, поступивших в открытое пространство за время полного испарения, но не более 3600 с, кг;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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плотность паров ЛВЖ при расчетной температуре и атмосферном давлении, кг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н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– давление насыщенных паров ЛВЖ при расчетной температуре, кПа;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коэффициент, принимаемый равным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/3600 для ЛВЖ;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Т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– продолжительность поступления паров ЛВЖ в открытое пространство, с;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нкпр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– нижний концентрационный предел распространения пламени ГГ или паров ЛВЖ, % (об.);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молярная масса, кг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кмоль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V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0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мольный объем, равный 22,413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кмоль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t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р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– расчетная температура,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о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С. В качестве расчетной температуры следует принимать максимально возможную температуру воздуха в соответствующей климатической зоне или максимальную возможную температуру воздуха по технологическому регламенту с учетом возможного повышения температуры в аварийной ситуации. Если такого значения расчетной температуры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t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по каким-либо причинам определить не удается, допускается принимать ее равной 61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о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С.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45. За начало отсчета горизонтального размера зоны принимают внешние габаритные размеры аппаратов, установок, трубопроводов и т. п. Во всех случаях значение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нкпр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должно быть не менее 0,3 м для ГГ и ЛВЖ.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Расчет избыточного давления и импульса волны давления при сгорании смесей горючих газов и паров с воздухом в открытом пространстве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46. Исходя из рассматриваемого сценария аварии, определяется масса m, кг, горючих газов и (или) паров, вышедших в атмосферу из технологического аппарата в соответствии с пунктами 38-43.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47. Величину избыточного давления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кПа, развиваемого при сгорании газопаровоздушных смесей, определяют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0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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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(0,8m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0,33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/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+3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0,66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/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r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+5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/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r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),                             (39)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где 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0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атмосферное давление, кПа (допускается принимать равным 101 кПа);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расстояние от геометрического центра газопаровоздушного облака, м;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приведенная масса газа или пара, кг, вычисляется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сг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/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0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Symbol" w:eastAsia="Times New Roman" w:hAnsi="Symbol" w:cs="Arial"/>
          <w:i/>
          <w:iCs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Z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         (40)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сг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удельная теплота сгорания газа или пара, Дж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кг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Z – коэффициент участия горючих газов и паров в горении, который допускается принимать равным 0,1;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0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константа, равная 4,52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10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6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Дж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кг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масса горючих газов и (или) паров, поступивших в результате аварии в окружающее пространство, кг.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48. Величину импульса волны давления i, Па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с, вычисляют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i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=123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0,66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/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 .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     (41)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МЕТОД РАСЧЕТА ЗНАЧЕНИЙ КРИТЕРИЕВ ПОЖАРНОЙ ОПАСНОСТИ ДЛЯ ГОРЮЧИХ ПЫЛЕЙ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lastRenderedPageBreak/>
        <w:t> 49. В качестве расчетного варианта аварии для определения критериев пожарной опасности для горючих пылей следует выбирать наиболее неблагоприятный вариант аварии или период нормальной работы аппаратов, при котором в горении пылевоздушной смеси участвует наибольшее количество веществ или материалов, наиболее опасных в отношении последствий такого горения.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50. Количество поступивших веществ, которые могут образовывать горючие пылевоздушные смеси, определяется, исходя из предпосылки о том, что в момент расчетной аварии произошла плановая (ремонтные работы) или внезапная разгерметизация одного из технологических аппаратов, за которой последовал аварийный выброс в окружающее пространство находившейся в аппарате пыли.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51. Расчетная масса пыли, поступившей в окружающее пространство при расчетной аварии, определяется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вз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+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ав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 (42)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расчетная масса поступившей в окружающее пространство горючей пыли, кг,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вз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расчетная масса взвихрившейся пыли, кг;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ав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расчетная масса пыли, поступившей в результате аварийной ситуации, кг.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52. Величина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вз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определяется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вз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г </w:t>
      </w:r>
      <w:r w:rsidRPr="00FA6D15">
        <w:rPr>
          <w:rFonts w:ascii="Symbol" w:eastAsia="Times New Roman" w:hAnsi="Symbol" w:cs="Arial"/>
          <w:sz w:val="20"/>
          <w:szCs w:val="20"/>
          <w:vertAlign w:val="sub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вз</w:t>
      </w:r>
      <w:r w:rsidRPr="00FA6D15">
        <w:rPr>
          <w:rFonts w:ascii="Symbol" w:eastAsia="Times New Roman" w:hAnsi="Symbol" w:cs="Arial"/>
          <w:sz w:val="20"/>
          <w:szCs w:val="20"/>
          <w:vertAlign w:val="sub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 (43)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 – доля горючей пыли в общей массе отложений пыли;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вз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доля отложенной вблизи аппарата пыли, способной перейти во взвешенное состояние в результате аварийной ситуации. В отсутствие экспериментальных данных о величине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вз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допускается принимать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вз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0,9;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масса отложившейся вблизи аппарата пыли к моменту аварии, кг.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53. Величина М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ав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определяется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ав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ап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+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Symbol" w:eastAsia="Times New Roman" w:hAnsi="Symbol" w:cs="Arial"/>
          <w:i/>
          <w:iCs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T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             (44)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ап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масса горючей пыли, выбрасываемой в окружающее пространство при разгерметизации технологического аппарата, кг; при отсутствии ограничивающих выброс пыли инженерных устройств следует полагать, что в момент расчетной аварии происходит аварийный выброс в окружающее пространство всей находившейся в аппарате пыли;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q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– производительность, с которой продолжается поступление пылевидных веществ в аварийный аппарат по трубопроводам до момента их отключения, кг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расчетное время отключения, с, определяемое в каждом конкретном случае, исходя из реальной обстановки. Следует принимать равным времени срабатывания системы автоматики, если вероятность ее отказа не превышает 0,000001 в год или обеспечено резервирование ее элементов (но не более 120 с); 120 с, если вероятность отказа системы автоматики превышает 0,000001 в год и не обеспечено резервирование ее элементов; 300 с при ручном отключении;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коэффициент пыления, представляющий отношение массы взвешенной в воздухе пыли ко всей массе пыли, поступившей из аппарата. В отсутствие экспериментальных данных о величине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К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допускается принимать: 0,5 – для пылей с дисперсностью не менее 350 мкм; 1,0 – для пылей с дисперсностью менее 350 мкм.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54. Избыточное давление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для горючих пылей рассчитывается следующим образом: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а) определяют приведенную массу горючей пыли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кг,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Symbol" w:eastAsia="Times New Roman" w:hAnsi="Symbol" w:cs="Arial"/>
          <w:i/>
          <w:iCs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Z</w:t>
      </w:r>
      <w:r w:rsidRPr="00FA6D15">
        <w:rPr>
          <w:rFonts w:ascii="Symbol" w:eastAsia="Times New Roman" w:hAnsi="Symbol" w:cs="Arial"/>
          <w:i/>
          <w:iCs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H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/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H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то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                 (45)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масса горючей пыли, поступившей в результате аварии в окружающее пространство, кг;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Z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коэффициент участия пыли в горении, значение которого допускается принимать равным 0,1. В отдельных обоснованных случаях величина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Z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может быть снижена, но не менее чем до 0,02;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H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теплота сгорания пыли, Дж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кг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H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то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константа, принимаемая равной 4,6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106 Дж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кг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б) вычисляют расчетное избыточное давление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кПа,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0</w:t>
      </w:r>
      <w:r w:rsidRPr="00FA6D15">
        <w:rPr>
          <w:rFonts w:ascii="Symbol" w:eastAsia="Times New Roman" w:hAnsi="Symbol" w:cs="Arial"/>
          <w:sz w:val="20"/>
          <w:szCs w:val="20"/>
          <w:vertAlign w:val="sub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(0,8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0,33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/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+3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0,66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/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+5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/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),                         (46)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lastRenderedPageBreak/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расстояние от центра пылевоздушного облака, м. Допускается отсчитывать величину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от геометрического центра технологической установки;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0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атмосферное давление, кПа.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55. Величину импульса волны давления i, Па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с, вычисляют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=123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пр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0,66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/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.                                         (47)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МЕТОД РАСЧЕТА ИНТЕНСИВНОСТИ  ТЕПЛОВОГО ИЗЛУЧЕНИЯ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56. Интенсивность теплового излучения рассчитывают для двух случаев пожара (или для того из них, который может быть реализован в данной технологической установке):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пожар проливов ЛВЖ, ГЖ или горение твердых горючих материалов (включая горение пыли);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“огненный шар” – крупномасштабное диффузионное горение, реализуемое при разрыве резервуара с горючей жидкостью или газом под давлением с воспламенением содержимого резервуара.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Если возможна реализация обоих случаев, то при оценке значений критерия пожарной опасности учитывается наибольшая из двух величин интенсивности теплового излучения.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57. Интенсивность теплового излучения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кВт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для пожара пролива жидкости или при горении твердых материалов вычисляют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Е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 xml:space="preserve">f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F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q</w:t>
      </w:r>
      <w:r w:rsidRPr="00FA6D15">
        <w:rPr>
          <w:rFonts w:ascii="Symbol" w:eastAsia="Times New Roman" w:hAnsi="Symbol" w:cs="Arial"/>
          <w:i/>
          <w:iCs/>
          <w:sz w:val="20"/>
          <w:szCs w:val="20"/>
          <w:vertAlign w:val="subscript"/>
          <w:lang w:eastAsia="ru-RU"/>
        </w:rPr>
        <w:t>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 xml:space="preserve"> </w:t>
      </w:r>
      <w:r w:rsidRPr="00FA6D15">
        <w:rPr>
          <w:rFonts w:ascii="Symbol" w:eastAsia="Times New Roman" w:hAnsi="Symbol" w:cs="Arial"/>
          <w:i/>
          <w:iCs/>
          <w:sz w:val="20"/>
          <w:szCs w:val="20"/>
          <w:lang w:eastAsia="ru-RU"/>
        </w:rPr>
        <w:t>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         (48)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 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Е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 xml:space="preserve">f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– среднеповерхностная плотность теплового излучения пламени, кВт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F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угловой коэффициент облученности;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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коэффициент пропускания атмосферы.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Значение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Е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 xml:space="preserve">f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принимается на основе имеющихся экспериментальных данных. Для некоторых жидких углеводородных топлив указанные данные приведены в табл. 8.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При отсутствии данных допускается принимать величину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Е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 xml:space="preserve">f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равной: 100кВт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для СУГ, 40 кВт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для нефтепродуктов, 40 кВт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для твердых материалов.</w:t>
      </w:r>
    </w:p>
    <w:p w:rsidR="004F007C" w:rsidRPr="00FA6D15" w:rsidRDefault="004F007C" w:rsidP="004F007C">
      <w:pPr>
        <w:spacing w:before="100" w:beforeAutospacing="1" w:after="100" w:afterAutospacing="1"/>
        <w:jc w:val="right"/>
        <w:rPr>
          <w:rFonts w:ascii="Arial" w:eastAsia="Times New Roman" w:hAnsi="Arial" w:cs="Arial"/>
          <w:i/>
          <w:i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 а б л и ц а 8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Среднеповерхностная плотность теплового излучения пламени в зависимости от диаметра очага и удельная массовая скорость выгорания для некоторых жидких углеводородных топлив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03"/>
        <w:gridCol w:w="1242"/>
        <w:gridCol w:w="1242"/>
        <w:gridCol w:w="1242"/>
        <w:gridCol w:w="1242"/>
        <w:gridCol w:w="1242"/>
        <w:gridCol w:w="1276"/>
      </w:tblGrid>
      <w:tr w:rsidR="00FA6D15" w:rsidRPr="00FA6D15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Топливо 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Е</w:t>
            </w: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vertAlign w:val="subscript"/>
                <w:lang w:eastAsia="ru-RU"/>
              </w:rPr>
              <w:t xml:space="preserve">f 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, кВт</w:t>
            </w:r>
            <w:r w:rsidRPr="00FA6D15">
              <w:rPr>
                <w:rFonts w:ascii="Symbol" w:eastAsia="Times New Roman" w:hAnsi="Symbol" w:cs="Arial"/>
                <w:b/>
                <w:bCs/>
                <w:sz w:val="20"/>
                <w:szCs w:val="20"/>
                <w:lang w:eastAsia="ru-RU"/>
              </w:rPr>
              <w:t>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м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ru-RU"/>
              </w:rPr>
              <w:t>-2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М</w:t>
            </w: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vertAlign w:val="subscript"/>
                <w:lang w:eastAsia="ru-RU"/>
              </w:rPr>
              <w:t>,</w:t>
            </w: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vertAlign w:val="subscript"/>
                <w:lang w:eastAsia="ru-RU"/>
              </w:rPr>
              <w:br/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bscript"/>
                <w:lang w:eastAsia="ru-RU"/>
              </w:rPr>
              <w:t>КГ</w:t>
            </w:r>
            <w:r w:rsidRPr="00FA6D15">
              <w:rPr>
                <w:rFonts w:ascii="Symbol" w:eastAsia="Times New Roman" w:hAnsi="Symbol" w:cs="Arial"/>
                <w:b/>
                <w:bCs/>
                <w:sz w:val="20"/>
                <w:szCs w:val="20"/>
                <w:vertAlign w:val="subscript"/>
                <w:lang w:eastAsia="ru-RU"/>
              </w:rPr>
              <w:t>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bscript"/>
                <w:lang w:eastAsia="ru-RU"/>
              </w:rPr>
              <w:t xml:space="preserve"> М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ru-RU"/>
              </w:rPr>
              <w:t>-2</w:t>
            </w:r>
            <w:r w:rsidRPr="00FA6D15">
              <w:rPr>
                <w:rFonts w:ascii="Symbol" w:eastAsia="Times New Roman" w:hAnsi="Symbol" w:cs="Arial"/>
                <w:b/>
                <w:bCs/>
                <w:sz w:val="20"/>
                <w:szCs w:val="20"/>
                <w:vertAlign w:val="superscript"/>
                <w:lang w:eastAsia="ru-RU"/>
              </w:rPr>
              <w:t>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ru-RU"/>
              </w:rPr>
              <w:t>-1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d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= 10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d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= 20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d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= 30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d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= 40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d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= 50 м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CПГ (Метан)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0,08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СУГ (Пропан-бутан)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0,10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Бензин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0,06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Дизельное топливо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0,04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Нефть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0,04</w:t>
            </w:r>
          </w:p>
        </w:tc>
      </w:tr>
    </w:tbl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Примечание. Для диаметров очагов менее 10 м или более 50 м следует принимать величину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Е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f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такой же, как и для очагов диаметром 10 м и 50 м соответственно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Рассчитывают эффективный диаметр пролива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d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м,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0E69BEF3" wp14:editId="09CF36F0">
            <wp:extent cx="694690" cy="424180"/>
            <wp:effectExtent l="0" t="0" r="0" b="0"/>
            <wp:docPr id="23" name="Рисунок 23" descr="E:\NPB\Image\105-03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NPB\Image\105-0315.gif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 (49)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F –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площадь пролива,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Вычисляют высоту пламени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м,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1209A018" wp14:editId="164F7E1B">
            <wp:extent cx="1411605" cy="526415"/>
            <wp:effectExtent l="0" t="0" r="0" b="6985"/>
            <wp:docPr id="24" name="Рисунок 24" descr="E:\NPB\Image\105-03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E:\NPB\Image\105-0316.gif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 (50)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М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– удельная массовая скорость выгорания топлива, кг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В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плотность окружающего воздуха, кг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g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9,81 м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-2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– ускорение свободного падения.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Определяют угловой коэффициент облученности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F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по формулам: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7424A4D4" wp14:editId="3CD43F71">
            <wp:extent cx="1236345" cy="373380"/>
            <wp:effectExtent l="0" t="0" r="1905" b="0"/>
            <wp:docPr id="25" name="Рисунок 25" descr="E:\NPB\Image\105-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:\NPB\Image\105-37.gif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45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                     (51)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F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F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н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– факторы облученности для вертикальной и горизонтальной площадок соответственно, определяемые с помощью выражений: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23DC2E4C" wp14:editId="50E8E86F">
            <wp:extent cx="3774440" cy="482600"/>
            <wp:effectExtent l="0" t="0" r="0" b="0"/>
            <wp:docPr id="26" name="Рисунок 26" descr="E:\NPB\Image\105-03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:\NPB\Image\105-0317.gif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4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val="en-US" w:eastAsia="ru-RU"/>
        </w:rPr>
        <w:t>,             (52)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A6D15">
        <w:rPr>
          <w:rFonts w:ascii="Arial" w:eastAsia="Times New Roman" w:hAnsi="Arial" w:cs="Arial"/>
          <w:sz w:val="20"/>
          <w:szCs w:val="20"/>
          <w:lang w:val="en-US" w:eastAsia="ru-RU"/>
        </w:rPr>
        <w:t> 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4A34E7C5" wp14:editId="6AAC5724">
            <wp:extent cx="4579620" cy="577850"/>
            <wp:effectExtent l="0" t="0" r="0" b="0"/>
            <wp:docPr id="27" name="Рисунок 27" descr="E:\NPB\Image\105-03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:\NPB\Image\105-0318.gif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val="en-US" w:eastAsia="ru-RU"/>
        </w:rPr>
        <w:t>,         (53)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A6D15">
        <w:rPr>
          <w:rFonts w:ascii="Arial" w:eastAsia="Times New Roman" w:hAnsi="Arial" w:cs="Arial"/>
          <w:sz w:val="20"/>
          <w:szCs w:val="20"/>
          <w:lang w:val="en-US" w:eastAsia="ru-RU"/>
        </w:rPr>
        <w:t> 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А</w:t>
      </w:r>
      <w:r w:rsidRPr="00FA6D15">
        <w:rPr>
          <w:rFonts w:ascii="Arial" w:eastAsia="Times New Roman" w:hAnsi="Arial" w:cs="Arial"/>
          <w:sz w:val="20"/>
          <w:szCs w:val="20"/>
          <w:lang w:val="en-US" w:eastAsia="ru-RU"/>
        </w:rPr>
        <w:t>=(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val="en-US" w:eastAsia="ru-RU"/>
        </w:rPr>
        <w:t>h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val="en-US"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val="en-US" w:eastAsia="ru-RU"/>
        </w:rPr>
        <w:t>+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val="en-US" w:eastAsia="ru-RU"/>
        </w:rPr>
        <w:t>S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val="en-US"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val="en-US" w:eastAsia="ru-RU"/>
        </w:rPr>
        <w:t>+1)/(2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val="en-US" w:eastAsia="ru-RU"/>
        </w:rPr>
        <w:t>S</w:t>
      </w:r>
      <w:r w:rsidRPr="00FA6D15">
        <w:rPr>
          <w:rFonts w:ascii="Arial" w:eastAsia="Times New Roman" w:hAnsi="Arial" w:cs="Arial"/>
          <w:sz w:val="20"/>
          <w:szCs w:val="20"/>
          <w:lang w:val="en-US" w:eastAsia="ru-RU"/>
        </w:rPr>
        <w:t>);                 (54)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A6D15">
        <w:rPr>
          <w:rFonts w:ascii="Arial" w:eastAsia="Times New Roman" w:hAnsi="Arial" w:cs="Arial"/>
          <w:sz w:val="20"/>
          <w:szCs w:val="20"/>
          <w:lang w:val="en-US" w:eastAsia="ru-RU"/>
        </w:rPr>
        <w:t> 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val="en-US" w:eastAsia="ru-RU"/>
        </w:rPr>
        <w:t>B</w:t>
      </w:r>
      <w:r w:rsidRPr="00FA6D15">
        <w:rPr>
          <w:rFonts w:ascii="Arial" w:eastAsia="Times New Roman" w:hAnsi="Arial" w:cs="Arial"/>
          <w:sz w:val="20"/>
          <w:szCs w:val="20"/>
          <w:lang w:val="en-US" w:eastAsia="ru-RU"/>
        </w:rPr>
        <w:t>=(1+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val="en-US" w:eastAsia="ru-RU"/>
        </w:rPr>
        <w:t>S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val="en-US"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lang w:val="en-US" w:eastAsia="ru-RU"/>
        </w:rPr>
        <w:t>)/(2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val="en-US" w:eastAsia="ru-RU"/>
        </w:rPr>
        <w:t>S</w:t>
      </w:r>
      <w:r w:rsidRPr="00FA6D15">
        <w:rPr>
          <w:rFonts w:ascii="Arial" w:eastAsia="Times New Roman" w:hAnsi="Arial" w:cs="Arial"/>
          <w:sz w:val="20"/>
          <w:szCs w:val="20"/>
          <w:lang w:val="en-US" w:eastAsia="ru-RU"/>
        </w:rPr>
        <w:t>);                     (55)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A6D15">
        <w:rPr>
          <w:rFonts w:ascii="Arial" w:eastAsia="Times New Roman" w:hAnsi="Arial" w:cs="Arial"/>
          <w:sz w:val="20"/>
          <w:szCs w:val="20"/>
          <w:lang w:val="en-US" w:eastAsia="ru-RU"/>
        </w:rPr>
        <w:t> 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val="en-US" w:eastAsia="ru-RU"/>
        </w:rPr>
        <w:t>S</w:t>
      </w:r>
      <w:r w:rsidRPr="00FA6D15">
        <w:rPr>
          <w:rFonts w:ascii="Arial" w:eastAsia="Times New Roman" w:hAnsi="Arial" w:cs="Arial"/>
          <w:sz w:val="20"/>
          <w:szCs w:val="20"/>
          <w:lang w:val="en-US" w:eastAsia="ru-RU"/>
        </w:rPr>
        <w:t>=2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val="en-US" w:eastAsia="ru-RU"/>
        </w:rPr>
        <w:t xml:space="preserve">r </w:t>
      </w:r>
      <w:r w:rsidRPr="00FA6D15">
        <w:rPr>
          <w:rFonts w:ascii="Arial" w:eastAsia="Times New Roman" w:hAnsi="Arial" w:cs="Arial"/>
          <w:sz w:val="20"/>
          <w:szCs w:val="20"/>
          <w:lang w:val="en-US" w:eastAsia="ru-RU"/>
        </w:rPr>
        <w:t xml:space="preserve">/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val="en-US" w:eastAsia="ru-RU"/>
        </w:rPr>
        <w:t>d</w:t>
      </w:r>
      <w:r w:rsidRPr="00FA6D15">
        <w:rPr>
          <w:rFonts w:ascii="Arial" w:eastAsia="Times New Roman" w:hAnsi="Arial" w:cs="Arial"/>
          <w:sz w:val="20"/>
          <w:szCs w:val="20"/>
          <w:lang w:val="en-US" w:eastAsia="ru-RU"/>
        </w:rPr>
        <w:t>;             (56)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h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=2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H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/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d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 (57)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расстояние от геометрического центра пролива до облучаемого объекта, м.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Определяют коэффициент пропускания атмосферы по формуле</w:t>
      </w:r>
    </w:p>
    <w:p w:rsidR="004F007C" w:rsidRPr="00FA6D15" w:rsidRDefault="004F007C" w:rsidP="004F007C">
      <w:pPr>
        <w:spacing w:beforeAutospacing="1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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ехр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[-7,0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10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-4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-0,5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d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)].                     (58)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58. Интенсивность теплового излучения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кВт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для “огненного шара” вычисляют по формуле (48).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Величину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Е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f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определяют на основе имеющихся экспериментальных данных. Допускается принимать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Е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f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равным 450 кВт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Значение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F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вычисляют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69D31C66" wp14:editId="62F56825">
            <wp:extent cx="2092325" cy="467995"/>
            <wp:effectExtent l="0" t="0" r="3175" b="8255"/>
            <wp:docPr id="28" name="Рисунок 28" descr="E:\NPB\Image\105-03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:\NPB\Image\105-0319.gif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32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     (59)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высота центра “огненного шара”, м;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D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s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эффективный диаметр “огненного шара”, м;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расстояние от облучаемого объекта до точки на поверхности земли непосредственно под центром “огненного шара”, м.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Эффективный диаметр “огненного шара”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D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s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определяют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D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s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=5,33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0,327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     (60)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масса горючего вещества, кг.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Величину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определяют в ходе специальных исследований. Допускается принимать величину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равной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D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s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/2.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Время существования “огненного шара”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t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s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, с, определяют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t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s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=0,92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m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0,303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.                         (61)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Коэффициент пропускания атмосферы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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рассчитывают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3C971B1A" wp14:editId="0BF77F3A">
            <wp:extent cx="2179955" cy="241300"/>
            <wp:effectExtent l="0" t="0" r="0" b="6350"/>
            <wp:docPr id="29" name="Рисунок 29" descr="E:\NPB\Image\105-03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:\NPB\Image\105-0320.gif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95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.                 (62)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bookmarkStart w:id="7" w:name="7"/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7</w:t>
      </w:r>
      <w:bookmarkEnd w:id="7"/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. МЕТОД ОЦЕНКИ ИНДИВИДУАЛЬНОГО РИСКА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59. Настоящий метод применим для расчета величины индивидуального риска (далее по тексту - риска) на наружных установках при возникновении таких поражающих факторов, как избыточное давление, развиваемое при сгорании газо-, паро- или пылевоздушных смесей, и тепловое излучение при сгорании веществ и материалов.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60. Величину индивидуального риска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R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B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при сгорании газо-, паро- или пылевоздушных смесей рассчитывают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733EDAF7" wp14:editId="4D6336FB">
            <wp:extent cx="1433830" cy="504825"/>
            <wp:effectExtent l="0" t="0" r="0" b="9525"/>
            <wp:docPr id="30" name="Рисунок 30" descr="E:\NPB\Image\105-03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:\NPB\Image\105-0321.gif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 (63)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Bi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годовая частота возникновения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-й аварии с горением газо-, паро-или пылевоздушной смеси на рассматриваемой наружной установке, 1/год;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BПi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– условная вероятность поражения человека, находящегося на заданном расстоянии от наружной установки, избыточным давлением при реализации указанной аварии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-го типа;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п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– количество типов рассматриваемых аварий.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Значения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Bi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определяют из статистических данных или на основе методик, изложенных в нормативных документах, утвержденных в установленном порядке. В формуле (63) допускается учитывать только одну наиболее неблагоприятную аварию, величина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B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для которой принимается равной годовой частоте возникновения пожара с горением газо-, паро- или пылевоздушных смесей на наружной установке по нормативным документам, утвержденным в установленном порядке, а значение Q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BП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вычислять, исходя из массы горючих веществ, вышедших в атмосферу, в соответствии с пп. 37-43.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61. Величину индивидуального риска R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при возможном сгорании веществ и материалов, указанных в табл.7 для категории В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рассчитывают по формуле</w:t>
      </w:r>
    </w:p>
    <w:p w:rsidR="004F007C" w:rsidRPr="00FA6D15" w:rsidRDefault="004F007C" w:rsidP="004F007C">
      <w:pPr>
        <w:spacing w:beforeAutospacing="1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3E81DFDE" wp14:editId="17762E9A">
            <wp:extent cx="1302385" cy="504825"/>
            <wp:effectExtent l="0" t="0" r="0" b="9525"/>
            <wp:docPr id="31" name="Рисунок 31" descr="E:\NPB\Image\105-03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:\NPB\Image\105-0322.gif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 (64)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lastRenderedPageBreak/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fi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годовая частота возникновения пожара на рассматриваемой наружной установке в случае аварии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-го типа, 1/год;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fПi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условная вероятность поражения человека, находящегося на заданном расстоянии от наружной установки, тепловым излучением при реализации аварии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-го типа;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n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- количество типов рассматриваемых аварий.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Значение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fi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определяют из статистических данных или на основе методик, изложенных в нормативных документах, утвержденных в установленном порядке.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В формуле (64) допускается учитывать только одну наиболее неблагоприятную аварию, величина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f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для которой принимается равной годовой частоте возникновения пожара на наружной установке по нормативным документам, утвержденным в установленном порядке, а значение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fП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вычислять, исходя из массы горючих веществ, вышедших в атмосферу, в соответствии с пунктами 37-43.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62. Условную вероятность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BПi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поражения человека избыточным давлением при сгорании газо-, паро- или пылевоздушных смесей на расстоянии r от эпицентра определяют следующим образом: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вычисляют избыточное давление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и импульс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по методам, описанным в разделе 6 (методы расчета значений критериев пожарной опасности для горючих газов и паров или метод расчета значений критериев пожарной опасности для горючих пылей);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исходя из значений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, вычисляют величину “пробит”-функции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Рr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Рr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=5 - 0,26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ln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(V),                         (65)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55B526AB" wp14:editId="2199590C">
            <wp:extent cx="1550670" cy="467995"/>
            <wp:effectExtent l="0" t="0" r="0" b="8255"/>
            <wp:docPr id="32" name="Рисунок 32" descr="E:\NPB\Image\105-03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NPB\Image\105-0323.gif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 (66)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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Р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– избыточное давление, Па;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i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– импульс волны давления, Па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с;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С помощью таблицы 9 определяют условную вероятность поражения человека. Например, при значении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Рr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2,95 значение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вп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=2 %=0,02, а при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Рr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=8,09 значение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вп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=99,9 %=0,999.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63. Условную вероятность поражения человека тепловым излучением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fПi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определяют следующим образом: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а) рассчитывают величину Рr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r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=-14,9+2,56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ln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t</w:t>
      </w:r>
      <w:r w:rsidRPr="00FA6D15">
        <w:rPr>
          <w:rFonts w:ascii="Symbol" w:eastAsia="Times New Roman" w:hAnsi="Symbol" w:cs="Arial"/>
          <w:i/>
          <w:iCs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q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1,33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),                                 (67)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t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– эффективное время экспозиции, с;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интенсивность теплового излучения, кВт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 определяемая в соответствии с методом расчета интенсивности теплового излучения (раздел 6).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Величину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t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находят: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1) для пожаров проливов ЛВЖ, ГЖ и твердых материалов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t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=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t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0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+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х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/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u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,                             (68)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t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0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характерное время обнаружения пожара, с, (допускается принимать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t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=5 с);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х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расстояние от места расположения человека до зоны, где интенсивность теплового излучения не превышает 4 кВт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м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-2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, м;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u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скорость движения человека, м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(допускается принимать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u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= 5 м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-1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2) для воздействия “огненного шара” – в соответствии с методом расчета интенсивности теплового излучения (раздел 6);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б) с помощью табл. 9 определяют условную вероятность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Пi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поражения человека тепловым излучением.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64. Если для рассматриваемой технологической установки возможен как пожар пролива, так и “огненный шар”, в формуле (64) должны быть учтены оба указанных выше типа аварии.</w:t>
      </w:r>
    </w:p>
    <w:p w:rsidR="004F007C" w:rsidRPr="00FA6D15" w:rsidRDefault="004F007C" w:rsidP="004F007C">
      <w:pPr>
        <w:spacing w:before="100" w:beforeAutospacing="1" w:after="100" w:afterAutospacing="1"/>
        <w:jc w:val="right"/>
        <w:rPr>
          <w:rFonts w:ascii="Arial" w:eastAsia="Times New Roman" w:hAnsi="Arial" w:cs="Arial"/>
          <w:i/>
          <w:i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lastRenderedPageBreak/>
        <w:t>Т а б л и ц а 9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Значения условной вероятности поражения человека в зависимости от величины </w:t>
      </w:r>
      <w:r w:rsidRPr="00FA6D15"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  <w:t>P</w:t>
      </w: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r</w:t>
      </w:r>
    </w:p>
    <w:tbl>
      <w:tblPr>
        <w:tblW w:w="5000" w:type="pct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742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51"/>
      </w:tblGrid>
      <w:tr w:rsidR="00FA6D15" w:rsidRPr="00FA6D15">
        <w:trPr>
          <w:tblCellSpacing w:w="7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Условная вероятность поражения,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Величина </w:t>
            </w: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P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r</w:t>
            </w:r>
          </w:p>
        </w:tc>
      </w:tr>
      <w:tr w:rsidR="00FA6D15" w:rsidRPr="00FA6D15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</w:tr>
      <w:tr w:rsidR="00FA6D15" w:rsidRPr="00FA6D1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3,66</w:t>
            </w:r>
          </w:p>
        </w:tc>
      </w:tr>
      <w:tr w:rsidR="00FA6D15" w:rsidRPr="00FA6D1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4,12</w:t>
            </w:r>
          </w:p>
        </w:tc>
      </w:tr>
      <w:tr w:rsidR="00FA6D15" w:rsidRPr="00FA6D1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4,45</w:t>
            </w:r>
          </w:p>
        </w:tc>
      </w:tr>
      <w:tr w:rsidR="00FA6D15" w:rsidRPr="00FA6D1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4,72</w:t>
            </w:r>
          </w:p>
        </w:tc>
      </w:tr>
      <w:tr w:rsidR="00FA6D15" w:rsidRPr="00FA6D1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4,97</w:t>
            </w:r>
          </w:p>
        </w:tc>
      </w:tr>
      <w:tr w:rsidR="00FA6D15" w:rsidRPr="00FA6D1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5,23</w:t>
            </w:r>
          </w:p>
        </w:tc>
      </w:tr>
      <w:tr w:rsidR="00FA6D15" w:rsidRPr="00FA6D1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5,50</w:t>
            </w:r>
          </w:p>
        </w:tc>
      </w:tr>
      <w:tr w:rsidR="00FA6D15" w:rsidRPr="00FA6D1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5,81</w:t>
            </w:r>
          </w:p>
        </w:tc>
      </w:tr>
      <w:tr w:rsidR="00FA6D15" w:rsidRPr="00FA6D1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6,23</w:t>
            </w:r>
          </w:p>
        </w:tc>
      </w:tr>
      <w:tr w:rsidR="00FA6D15" w:rsidRPr="00FA6D1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7,33</w:t>
            </w:r>
          </w:p>
        </w:tc>
      </w:tr>
      <w:tr w:rsidR="00FA6D15" w:rsidRPr="00FA6D1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0,90</w:t>
            </w:r>
          </w:p>
        </w:tc>
      </w:tr>
      <w:tr w:rsidR="00FA6D15" w:rsidRPr="00FA6D1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8,09</w:t>
            </w:r>
          </w:p>
        </w:tc>
      </w:tr>
    </w:tbl>
    <w:p w:rsidR="004F007C" w:rsidRPr="00FA6D15" w:rsidRDefault="004F007C" w:rsidP="004F007C">
      <w:pPr>
        <w:spacing w:before="100" w:beforeAutospacing="1" w:after="100" w:afterAutospacing="1"/>
        <w:jc w:val="right"/>
        <w:rPr>
          <w:rFonts w:ascii="Arial" w:eastAsia="Times New Roman" w:hAnsi="Arial" w:cs="Arial"/>
          <w:i/>
          <w:iCs/>
          <w:sz w:val="20"/>
          <w:szCs w:val="20"/>
          <w:lang w:eastAsia="ru-RU"/>
        </w:rPr>
      </w:pPr>
      <w:bookmarkStart w:id="8" w:name="ПРИЛОЖЕНИЕ"/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ПРИЛОЖЕНИЕ</w:t>
      </w:r>
      <w:bookmarkEnd w:id="8"/>
    </w:p>
    <w:p w:rsidR="004F007C" w:rsidRPr="00FA6D15" w:rsidRDefault="004F007C" w:rsidP="004F007C">
      <w:pPr>
        <w:spacing w:before="100" w:beforeAutospacing="1" w:after="100" w:afterAutospacing="1"/>
        <w:jc w:val="right"/>
        <w:rPr>
          <w:rFonts w:ascii="Arial" w:eastAsia="Times New Roman" w:hAnsi="Arial" w:cs="Arial"/>
          <w:i/>
          <w:iCs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Рекомендуемое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РАСЧЕТНОЕ ОПРЕДЕЛЕНИЕ ЗНАЧЕНИЯ КОЭФФИЦИЕНТА </w:t>
      </w:r>
      <w:r w:rsidRPr="00FA6D15"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  <w:t xml:space="preserve">Z </w:t>
      </w:r>
      <w:r w:rsidRPr="00FA6D1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УЧАСТИЯ ГОРЮЧИХ ГАЗОВ И ПАРОВ НЕНАГРЕТЫХ ЛЕГКОВОСПЛАМЕНЯЮЩИХСЯ ЖИДКОСТЕЙ ВО ВЗРЫВЕ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Материалы настоящего приложения применяются для случая 100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т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/(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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г,п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V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)&lt; 0,5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, 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– нижний концентрационный предел распространения пламени газа или пара, % (об.), и для помещений в форме прямоугольного параллелепипеда с отношением длины к ширине не более 5.</w:t>
      </w:r>
    </w:p>
    <w:p w:rsidR="004F007C" w:rsidRPr="00FA6D15" w:rsidRDefault="004F007C" w:rsidP="004F007C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1. Коэффициент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Z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участия горючих газов и паров легковоспламеняющихся жидкостей во взрыве при заданном уровне значимости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(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&gt; </w:t>
      </w: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32D29ED2" wp14:editId="55239B5B">
            <wp:extent cx="153670" cy="160655"/>
            <wp:effectExtent l="0" t="0" r="0" b="0"/>
            <wp:docPr id="33" name="Рисунок 33" descr="E:\NPB\Image\image8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E:\NPB\Image\image81.gif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) рассчитывается по формулам: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при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Х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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4DA3A103" wp14:editId="1964D94B">
            <wp:extent cx="124460" cy="387985"/>
            <wp:effectExtent l="0" t="0" r="8890" b="0"/>
            <wp:docPr id="34" name="Рисунок 34" descr="E:\NPB\Image\image8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E:\NPB\Image\image82.gif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L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Y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Symbol" w:eastAsia="Times New Roman" w:hAnsi="Symbol" w:cs="Arial"/>
          <w:sz w:val="20"/>
          <w:szCs w:val="20"/>
          <w:lang w:eastAsia="ru-RU"/>
        </w:rPr>
        <w:t>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40F6FB59" wp14:editId="5E154DC9">
            <wp:extent cx="124460" cy="387985"/>
            <wp:effectExtent l="0" t="0" r="8890" b="0"/>
            <wp:docPr id="35" name="Рисунок 35" descr="E:\NPB\Image\image8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:\NPB\Image\image82.gif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S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Z = </w:t>
      </w:r>
      <w:r w:rsidRPr="00FA6D15">
        <w:rPr>
          <w:rFonts w:ascii="Arial" w:eastAsia="Times New Roman" w:hAnsi="Arial" w:cs="Arial"/>
          <w:i/>
          <w:iCs/>
          <w:noProof/>
          <w:sz w:val="20"/>
          <w:szCs w:val="20"/>
          <w:lang w:eastAsia="ru-RU"/>
        </w:rPr>
        <w:drawing>
          <wp:inline distT="0" distB="0" distL="0" distR="0" wp14:anchorId="568B2856" wp14:editId="33973FEA">
            <wp:extent cx="760730" cy="387985"/>
            <wp:effectExtent l="0" t="0" r="1270" b="0"/>
            <wp:docPr id="36" name="Рисунок 36" descr="E:\NPB\Image\image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E:\NPB\Image\image83.gif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404AC0E8" wp14:editId="0ED75F06">
            <wp:extent cx="746125" cy="358140"/>
            <wp:effectExtent l="0" t="0" r="0" b="3810"/>
            <wp:docPr id="37" name="Рисунок 37" descr="E:\NPB\Image\image8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E:\NPB\Image\image84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Х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Y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Z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,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 (1)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при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Х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&gt; </w:t>
      </w: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7EABF199" wp14:editId="25607EFB">
            <wp:extent cx="124460" cy="387985"/>
            <wp:effectExtent l="0" t="0" r="8890" b="0"/>
            <wp:docPr id="38" name="Рисунок 38" descr="E:\NPB\Image\image8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E:\NPB\Image\image82.gif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L 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и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Y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&gt; </w:t>
      </w: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2145147F" wp14:editId="723008DD">
            <wp:extent cx="124460" cy="387985"/>
            <wp:effectExtent l="0" t="0" r="8890" b="0"/>
            <wp:docPr id="39" name="Рисунок 39" descr="E:\NPB\Image\image8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E:\NPB\Image\image82.gif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S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lastRenderedPageBreak/>
        <w:t xml:space="preserve">Z = </w:t>
      </w:r>
      <w:r w:rsidRPr="00FA6D15">
        <w:rPr>
          <w:rFonts w:ascii="Arial" w:eastAsia="Times New Roman" w:hAnsi="Arial" w:cs="Arial"/>
          <w:i/>
          <w:iCs/>
          <w:noProof/>
          <w:sz w:val="20"/>
          <w:szCs w:val="20"/>
          <w:lang w:eastAsia="ru-RU"/>
        </w:rPr>
        <w:drawing>
          <wp:inline distT="0" distB="0" distL="0" distR="0" wp14:anchorId="1C34547A" wp14:editId="1E998D36">
            <wp:extent cx="665480" cy="387985"/>
            <wp:effectExtent l="0" t="0" r="1270" b="0"/>
            <wp:docPr id="40" name="Рисунок 40" descr="E:\NPB\Image\image8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E:\NPB\Image\image85.gif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20238A7A" wp14:editId="0E842EE2">
            <wp:extent cx="746125" cy="358140"/>
            <wp:effectExtent l="0" t="0" r="0" b="3810"/>
            <wp:docPr id="41" name="Рисунок 41" descr="E:\NPB\Image\image8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E:\NPB\Image\image84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F Z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,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>                         (2)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0</w:t>
      </w:r>
      <w:r w:rsidRPr="00FA6D15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—</w:t>
      </w:r>
      <w:r w:rsidRPr="00FA6D15">
        <w:rPr>
          <w:rFonts w:ascii="Arial" w:eastAsia="Times New Roman" w:hAnsi="Arial" w:cs="Arial"/>
          <w:sz w:val="20"/>
          <w:szCs w:val="20"/>
          <w:lang w:eastAsia="ru-RU"/>
        </w:rPr>
        <w:t xml:space="preserve"> предэкспоненциальный множитель, % (об.), равный: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lang w:eastAsia="ru-RU"/>
        </w:rPr>
        <w:t>при отсутствии подвижности воздушной среды для горючих газов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vertAlign w:val="superscript"/>
          <w:lang w:eastAsia="ru-RU"/>
        </w:rPr>
        <w:drawing>
          <wp:inline distT="0" distB="0" distL="0" distR="0" wp14:anchorId="22010561" wp14:editId="1C38314F">
            <wp:extent cx="1170305" cy="424180"/>
            <wp:effectExtent l="0" t="0" r="0" b="0"/>
            <wp:docPr id="42" name="Рисунок 42" descr="E:\NPB\Image\105-03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E:\NPB\Image\105-0324.gif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,                         (3)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при подвижности воздушной среды для горючих газов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vertAlign w:val="superscript"/>
          <w:lang w:eastAsia="ru-RU"/>
        </w:rPr>
        <w:drawing>
          <wp:inline distT="0" distB="0" distL="0" distR="0" wp14:anchorId="4C04987C" wp14:editId="675AA0E4">
            <wp:extent cx="1141095" cy="424180"/>
            <wp:effectExtent l="0" t="0" r="1905" b="0"/>
            <wp:docPr id="43" name="Рисунок 43" descr="E:\NPB\Image\105-03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E:\NPB\Image\105-0325.gif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,                         (4)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при отсутствии подвижности воздушной среды для паров легковоспламеняющихся жидкостей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i/>
          <w:iCs/>
          <w:noProof/>
          <w:sz w:val="20"/>
          <w:szCs w:val="20"/>
          <w:vertAlign w:val="superscript"/>
          <w:lang w:eastAsia="ru-RU"/>
        </w:rPr>
        <w:drawing>
          <wp:inline distT="0" distB="0" distL="0" distR="0" wp14:anchorId="2579E12E" wp14:editId="4FC0715C">
            <wp:extent cx="1477645" cy="526415"/>
            <wp:effectExtent l="0" t="0" r="8255" b="6985"/>
            <wp:docPr id="44" name="Рисунок 44" descr="E:\NPB\Image\105-032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E:\NPB\Image\105-0326.gif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645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                 (5)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при подвижности воздушной среды для паров легковоспламеняющихся жидкостей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i/>
          <w:iCs/>
          <w:noProof/>
          <w:sz w:val="20"/>
          <w:szCs w:val="20"/>
          <w:vertAlign w:val="superscript"/>
          <w:lang w:eastAsia="ru-RU"/>
        </w:rPr>
        <w:drawing>
          <wp:inline distT="0" distB="0" distL="0" distR="0" wp14:anchorId="033F73E2" wp14:editId="344D5F52">
            <wp:extent cx="1433830" cy="504825"/>
            <wp:effectExtent l="0" t="0" r="0" b="9525"/>
            <wp:docPr id="45" name="Рисунок 45" descr="E:\NPB\Image\105-03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E:\NPB\Image\105-0327.gif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                     (6)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т —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масса газа или паров ЛВЖ, поступающих в объем помещения в соответствии с разделом 3, кг; 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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—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допустимые отклонения концентрации при задаваемом уровне значимости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Q (С &gt; </w:t>
      </w:r>
      <w:r w:rsidRPr="00FA6D15">
        <w:rPr>
          <w:rFonts w:ascii="Arial" w:eastAsia="Times New Roman" w:hAnsi="Arial" w:cs="Arial"/>
          <w:noProof/>
          <w:sz w:val="20"/>
          <w:szCs w:val="20"/>
          <w:vertAlign w:val="superscript"/>
          <w:lang w:eastAsia="ru-RU"/>
        </w:rPr>
        <w:drawing>
          <wp:inline distT="0" distB="0" distL="0" distR="0" wp14:anchorId="4453FD29" wp14:editId="6523D7FF">
            <wp:extent cx="153670" cy="160655"/>
            <wp:effectExtent l="0" t="0" r="0" b="0"/>
            <wp:docPr id="46" name="Рисунок 46" descr="E:\NPB\Image\image8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E:\NPB\Image\image81.gif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) приведенные в таблице П1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; Х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, Y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, Z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Symbol" w:eastAsia="Times New Roman" w:hAnsi="Symbol" w:cs="Arial"/>
          <w:i/>
          <w:iCs/>
          <w:sz w:val="20"/>
          <w:szCs w:val="20"/>
          <w:vertAlign w:val="superscript"/>
          <w:lang w:eastAsia="ru-RU"/>
        </w:rPr>
        <w:t>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расстояния по осям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X, Y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и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Z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от источника поступления газа или пара, ограниченные нижним концентрационным пределом распространения пламени соответственно, м; рассчитываются по формулам (10–12) приложения;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L, S –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длина и ширина помещения соответственно, м;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F –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площадь пола помещения соответственно, м2;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U –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подвижность воздушной среды, м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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с-1;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– концентрация насыщенных паров при расчетной температуре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t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p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, 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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С, воздуха в помещении, % (об.).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Концентрация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может быть найдена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= 100</w:t>
      </w:r>
      <w:r w:rsidRPr="00FA6D15">
        <w:rPr>
          <w:rFonts w:ascii="Arial" w:eastAsia="Times New Roman" w:hAnsi="Arial" w:cs="Arial"/>
          <w:noProof/>
          <w:sz w:val="20"/>
          <w:szCs w:val="20"/>
          <w:vertAlign w:val="superscript"/>
          <w:lang w:eastAsia="ru-RU"/>
        </w:rPr>
        <w:drawing>
          <wp:inline distT="0" distB="0" distL="0" distR="0" wp14:anchorId="79DC0A39" wp14:editId="09812FAF">
            <wp:extent cx="205105" cy="380365"/>
            <wp:effectExtent l="0" t="0" r="4445" b="635"/>
            <wp:docPr id="47" name="Рисунок 47" descr="E:\NPB\Image\image9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E:\NPB\Image\image90.gif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                      (7)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–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давление насыщенных паров при расчетной температуре (находится из справочной литературы), кПа;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Р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0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–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атмосферное давление, равное 101 кПа.</w:t>
      </w:r>
    </w:p>
    <w:tbl>
      <w:tblPr>
        <w:tblW w:w="37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08"/>
      </w:tblGrid>
      <w:tr w:rsidR="00FA6D15" w:rsidRPr="00FA6D15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4F007C" w:rsidRPr="00FA6D15" w:rsidRDefault="004F007C" w:rsidP="004F007C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Т а б л и ц а П1 </w:t>
            </w:r>
          </w:p>
        </w:tc>
      </w:tr>
    </w:tbl>
    <w:p w:rsidR="004F007C" w:rsidRPr="00FA6D15" w:rsidRDefault="004F007C" w:rsidP="004F007C">
      <w:pPr>
        <w:rPr>
          <w:rFonts w:ascii="Arial" w:eastAsia="Times New Roman" w:hAnsi="Arial" w:cs="Arial"/>
          <w:vanish/>
          <w:sz w:val="20"/>
          <w:szCs w:val="20"/>
          <w:vertAlign w:val="superscript"/>
          <w:lang w:eastAsia="ru-RU"/>
        </w:rPr>
      </w:pPr>
    </w:p>
    <w:tbl>
      <w:tblPr>
        <w:tblW w:w="795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90"/>
        <w:gridCol w:w="1587"/>
        <w:gridCol w:w="1373"/>
      </w:tblGrid>
      <w:tr w:rsidR="00FA6D15" w:rsidRPr="00FA6D15">
        <w:trPr>
          <w:tblCellSpacing w:w="7" w:type="dxa"/>
        </w:trPr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Характер распределения концентраций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Q</w:t>
            </w: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(</w:t>
            </w:r>
            <w:r w:rsidRPr="00FA6D1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С</w:t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&gt; </w:t>
            </w:r>
            <w:r w:rsidRPr="00FA6D15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9F213DF" wp14:editId="46F11752">
                  <wp:extent cx="153670" cy="160655"/>
                  <wp:effectExtent l="0" t="0" r="0" b="0"/>
                  <wp:docPr id="48" name="Рисунок 48" descr="E:\NPB\Image\image8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E:\NPB\Image\image8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6D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Symbol" w:eastAsia="Times New Roman" w:hAnsi="Symbol" w:cs="Arial"/>
                <w:b/>
                <w:bCs/>
                <w:i/>
                <w:iCs/>
                <w:sz w:val="20"/>
                <w:szCs w:val="20"/>
                <w:lang w:eastAsia="ru-RU"/>
              </w:rPr>
              <w:t></w:t>
            </w:r>
          </w:p>
        </w:tc>
      </w:tr>
      <w:tr w:rsidR="00FA6D15" w:rsidRPr="00FA6D15">
        <w:trPr>
          <w:tblCellSpacing w:w="7" w:type="dxa"/>
        </w:trPr>
        <w:tc>
          <w:tcPr>
            <w:tcW w:w="4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Для горючих газов при отсутствии подвижности воздушной среды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1,29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1,38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1,53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1,63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1,70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2,04</w:t>
            </w:r>
          </w:p>
        </w:tc>
      </w:tr>
      <w:tr w:rsidR="00FA6D15" w:rsidRPr="00FA6D15">
        <w:trPr>
          <w:tblCellSpacing w:w="7" w:type="dxa"/>
        </w:trPr>
        <w:tc>
          <w:tcPr>
            <w:tcW w:w="4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Для горючих газов при подвижности воздушной</w:t>
            </w:r>
          </w:p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среды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1,29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1,37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1,52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1,62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1,70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2,03</w:t>
            </w:r>
          </w:p>
        </w:tc>
      </w:tr>
      <w:tr w:rsidR="00FA6D15" w:rsidRPr="00FA6D15">
        <w:trPr>
          <w:tblCellSpacing w:w="7" w:type="dxa"/>
        </w:trPr>
        <w:tc>
          <w:tcPr>
            <w:tcW w:w="4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Для паров легковоспламеняющихся жидкостей при отсутствии подвижности воздушной среды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1,19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1,25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1,35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1,41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1,46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1,68</w:t>
            </w:r>
          </w:p>
        </w:tc>
      </w:tr>
      <w:tr w:rsidR="00FA6D15" w:rsidRPr="00FA6D15">
        <w:trPr>
          <w:tblCellSpacing w:w="7" w:type="dxa"/>
        </w:trPr>
        <w:tc>
          <w:tcPr>
            <w:tcW w:w="4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Для паров легковоспламеняющихся жидкостей при подвижности воздушной среды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1,21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1,27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1,38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1,45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1,51</w:t>
            </w:r>
          </w:p>
        </w:tc>
      </w:tr>
      <w:tr w:rsidR="00FA6D15" w:rsidRPr="00FA6D15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007C" w:rsidRPr="00FA6D15" w:rsidRDefault="004F007C" w:rsidP="004F007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6D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1,75</w:t>
            </w:r>
          </w:p>
        </w:tc>
      </w:tr>
    </w:tbl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Величина уровня значимости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(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&gt; </w:t>
      </w:r>
      <w:r w:rsidRPr="00FA6D15">
        <w:rPr>
          <w:rFonts w:ascii="Arial" w:eastAsia="Times New Roman" w:hAnsi="Arial" w:cs="Arial"/>
          <w:noProof/>
          <w:sz w:val="20"/>
          <w:szCs w:val="20"/>
          <w:vertAlign w:val="superscript"/>
          <w:lang w:eastAsia="ru-RU"/>
        </w:rPr>
        <w:drawing>
          <wp:inline distT="0" distB="0" distL="0" distR="0" wp14:anchorId="5751B33D" wp14:editId="745617BA">
            <wp:extent cx="153670" cy="160655"/>
            <wp:effectExtent l="0" t="0" r="0" b="0"/>
            <wp:docPr id="49" name="Рисунок 49" descr="E:\NPB\Image\image8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E:\NPB\Image\image81.gif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) выбирается, исходя из особенностей технологического процесса. Допускается принимать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Q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(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&gt; </w:t>
      </w:r>
      <w:r w:rsidRPr="00FA6D15">
        <w:rPr>
          <w:rFonts w:ascii="Arial" w:eastAsia="Times New Roman" w:hAnsi="Arial" w:cs="Arial"/>
          <w:noProof/>
          <w:sz w:val="20"/>
          <w:szCs w:val="20"/>
          <w:vertAlign w:val="superscript"/>
          <w:lang w:eastAsia="ru-RU"/>
        </w:rPr>
        <w:drawing>
          <wp:inline distT="0" distB="0" distL="0" distR="0" wp14:anchorId="3DD8752F" wp14:editId="341452E2">
            <wp:extent cx="153670" cy="160655"/>
            <wp:effectExtent l="0" t="0" r="0" b="0"/>
            <wp:docPr id="50" name="Рисунок 50" descr="E:\NPB\Image\image8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E:\NPB\Image\image81.gif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) равным 0,05.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2. Величина коэффициента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Z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участия паров легковоспламеняющихся жидкостей во взрыве может быть определена по графику, приведенному на рисунке.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noProof/>
          <w:sz w:val="20"/>
          <w:szCs w:val="20"/>
          <w:vertAlign w:val="superscript"/>
          <w:lang w:eastAsia="ru-RU"/>
        </w:rPr>
        <w:drawing>
          <wp:inline distT="0" distB="0" distL="0" distR="0" wp14:anchorId="00569C26" wp14:editId="15B0FE8D">
            <wp:extent cx="3255010" cy="3189605"/>
            <wp:effectExtent l="0" t="0" r="2540" b="0"/>
            <wp:docPr id="51" name="Рисунок 51" descr="E:\NPB\Image\image9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E:\NPB\Image\image92.gif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010" cy="318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X   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 Значения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Х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определяются по формуле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Times New Roman" w:eastAsia="Times New Roman" w:hAnsi="Times New Roman" w:cs="Times New Roman"/>
          <w:noProof/>
          <w:sz w:val="20"/>
          <w:szCs w:val="20"/>
          <w:vertAlign w:val="superscript"/>
          <w:lang w:eastAsia="ru-RU"/>
        </w:rPr>
        <w:drawing>
          <wp:inline distT="0" distB="0" distL="0" distR="0" wp14:anchorId="1FFEE29A" wp14:editId="1047F2F5">
            <wp:extent cx="1814195" cy="511810"/>
            <wp:effectExtent l="0" t="0" r="0" b="2540"/>
            <wp:docPr id="52" name="Рисунок 52" descr="E:\NPB\Image\Image1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E:\NPB\Image\Image115.gif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195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                                 (8)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* – величина, задаваемая соотношением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* = 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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С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ст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,                     (9)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где </w:t>
      </w:r>
      <w:r w:rsidRPr="00FA6D15">
        <w:rPr>
          <w:rFonts w:ascii="Symbol" w:eastAsia="Times New Roman" w:hAnsi="Symbol" w:cs="Arial"/>
          <w:sz w:val="20"/>
          <w:szCs w:val="20"/>
          <w:vertAlign w:val="superscript"/>
          <w:lang w:eastAsia="ru-RU"/>
        </w:rPr>
        <w:t>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– эффективный коэффициент избытка горючего, принимаемый равным 1,9.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 3. Расстояния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Х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, Y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и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Z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рассчитываются по формулам: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vertAlign w:val="superscript"/>
          <w:lang w:val="en-US"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lastRenderedPageBreak/>
        <w:t>Х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val="en-US" w:eastAsia="ru-RU"/>
        </w:rPr>
        <w:t xml:space="preserve"> =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val="en-US" w:eastAsia="ru-RU"/>
        </w:rPr>
        <w:t>K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val="en-US" w:eastAsia="ru-RU"/>
        </w:rPr>
        <w:t>1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val="en-US" w:eastAsia="ru-RU"/>
        </w:rPr>
        <w:t xml:space="preserve"> L</w:t>
      </w:r>
      <w:r w:rsidRPr="00FA6D15">
        <w:rPr>
          <w:rFonts w:ascii="Arial" w:eastAsia="Times New Roman" w:hAnsi="Arial" w:cs="Arial"/>
          <w:noProof/>
          <w:sz w:val="20"/>
          <w:szCs w:val="20"/>
          <w:vertAlign w:val="superscript"/>
          <w:lang w:eastAsia="ru-RU"/>
        </w:rPr>
        <w:drawing>
          <wp:inline distT="0" distB="0" distL="0" distR="0" wp14:anchorId="7E069C37" wp14:editId="5EA3DB6C">
            <wp:extent cx="906780" cy="461010"/>
            <wp:effectExtent l="0" t="0" r="7620" b="0"/>
            <wp:docPr id="53" name="Рисунок 53" descr="E:\NPB\Image\105-03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E:\NPB\Image\105-0328.gif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val="en-US" w:eastAsia="ru-RU"/>
        </w:rPr>
        <w:t>;                     (10)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vertAlign w:val="superscript"/>
          <w:lang w:val="en-US"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val="en-US" w:eastAsia="ru-RU"/>
        </w:rPr>
        <w:t>Y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val="en-US" w:eastAsia="ru-RU"/>
        </w:rPr>
        <w:t xml:space="preserve"> =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val="en-US" w:eastAsia="ru-RU"/>
        </w:rPr>
        <w:t>K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val="en-US" w:eastAsia="ru-RU"/>
        </w:rPr>
        <w:t>1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val="en-US" w:eastAsia="ru-RU"/>
        </w:rPr>
        <w:t xml:space="preserve"> S</w:t>
      </w:r>
      <w:r w:rsidRPr="00FA6D15">
        <w:rPr>
          <w:rFonts w:ascii="Arial" w:eastAsia="Times New Roman" w:hAnsi="Arial" w:cs="Arial"/>
          <w:noProof/>
          <w:sz w:val="20"/>
          <w:szCs w:val="20"/>
          <w:vertAlign w:val="superscript"/>
          <w:lang w:eastAsia="ru-RU"/>
        </w:rPr>
        <w:drawing>
          <wp:inline distT="0" distB="0" distL="0" distR="0" wp14:anchorId="778F8815" wp14:editId="586482E4">
            <wp:extent cx="906780" cy="461010"/>
            <wp:effectExtent l="0" t="0" r="7620" b="0"/>
            <wp:docPr id="54" name="Рисунок 54" descr="E:\NPB\Image\105-03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E:\NPB\Image\105-0328.gif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val="en-US" w:eastAsia="ru-RU"/>
        </w:rPr>
        <w:t>;                     (11)</w:t>
      </w:r>
    </w:p>
    <w:p w:rsidR="004F007C" w:rsidRPr="00FA6D15" w:rsidRDefault="004F007C" w:rsidP="004F007C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Z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=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K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3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H</w:t>
      </w:r>
      <w:r w:rsidRPr="00FA6D15">
        <w:rPr>
          <w:rFonts w:ascii="Arial" w:eastAsia="Times New Roman" w:hAnsi="Arial" w:cs="Arial"/>
          <w:noProof/>
          <w:sz w:val="20"/>
          <w:szCs w:val="20"/>
          <w:vertAlign w:val="superscript"/>
          <w:lang w:eastAsia="ru-RU"/>
        </w:rPr>
        <w:drawing>
          <wp:inline distT="0" distB="0" distL="0" distR="0" wp14:anchorId="56002813" wp14:editId="5F0E4741">
            <wp:extent cx="906780" cy="461010"/>
            <wp:effectExtent l="0" t="0" r="7620" b="0"/>
            <wp:docPr id="55" name="Рисунок 55" descr="E:\NPB\Image\105-03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E:\NPB\Image\105-0328.gif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,                     (12)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где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K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1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– коэффициент, принимаемый равным 1,1314 для горючих газов и 1,1958 для легковоспламеняющихся жидкостей;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K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–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коэффициент, принимаемый равным 1 для горючих газов и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K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=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T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/ 3600 для легковоспламеняющихся жидкостей;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K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3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–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коэффициент, принимаемый равным 0,0253 для горючих газов при отсутствии подвижности воздушной среды; 0,02828 для горючих газов при подвижности воздушной среды; 0,04714 для легковоспламеняющихся жидкостей при отсутствии подвижности воздушной среды и 0,3536 для легковоспламеняющихся жидкостей при подвижности воздушной среды;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Н –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высота помещения, м.</w:t>
      </w:r>
    </w:p>
    <w:p w:rsidR="004F007C" w:rsidRPr="00FA6D15" w:rsidRDefault="004F007C" w:rsidP="004F00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При отрицательных значениях логарифмов расстояния 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Х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, Y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нкпр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и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Z</w:t>
      </w:r>
      <w:r w:rsidRPr="00FA6D15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нкп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ru-RU"/>
        </w:rPr>
        <w:t>р</w:t>
      </w:r>
      <w:r w:rsidRPr="00FA6D15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</w:t>
      </w:r>
      <w:r w:rsidRPr="00FA6D15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принимаются равными 0. </w:t>
      </w:r>
    </w:p>
    <w:bookmarkEnd w:id="0"/>
    <w:p w:rsidR="0031335B" w:rsidRPr="00FA6D15" w:rsidRDefault="0031335B"/>
    <w:sectPr w:rsidR="0031335B" w:rsidRPr="00FA6D15" w:rsidSect="007575C0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07C"/>
    <w:rsid w:val="0031335B"/>
    <w:rsid w:val="004F007C"/>
    <w:rsid w:val="007575C0"/>
    <w:rsid w:val="007E037B"/>
    <w:rsid w:val="00876331"/>
    <w:rsid w:val="00905114"/>
    <w:rsid w:val="0092522A"/>
    <w:rsid w:val="00F80927"/>
    <w:rsid w:val="00FA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F007C"/>
    <w:pPr>
      <w:spacing w:before="100" w:beforeAutospacing="1" w:after="100" w:afterAutospacing="1"/>
      <w:outlineLvl w:val="1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4F007C"/>
    <w:pPr>
      <w:spacing w:before="100" w:beforeAutospacing="1" w:after="100" w:afterAutospacing="1"/>
      <w:outlineLvl w:val="2"/>
    </w:pPr>
    <w:rPr>
      <w:rFonts w:ascii="Arial" w:eastAsia="Times New Roman" w:hAnsi="Arial" w:cs="Arial"/>
      <w:b/>
      <w:bCs/>
      <w:i/>
      <w:iCs/>
      <w:color w:val="000000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4F007C"/>
    <w:pPr>
      <w:spacing w:before="100" w:beforeAutospacing="1" w:after="100" w:afterAutospacing="1"/>
      <w:jc w:val="center"/>
      <w:outlineLvl w:val="3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F007C"/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F007C"/>
    <w:rPr>
      <w:rFonts w:ascii="Arial" w:eastAsia="Times New Roman" w:hAnsi="Arial" w:cs="Arial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F007C"/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F007C"/>
  </w:style>
  <w:style w:type="character" w:styleId="a3">
    <w:name w:val="Hyperlink"/>
    <w:basedOn w:val="a0"/>
    <w:uiPriority w:val="99"/>
    <w:semiHidden/>
    <w:unhideWhenUsed/>
    <w:rsid w:val="004F007C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4F007C"/>
    <w:rPr>
      <w:strike w:val="0"/>
      <w:dstrike w:val="0"/>
      <w:color w:val="FF0000"/>
      <w:u w:val="none"/>
      <w:effect w:val="none"/>
    </w:rPr>
  </w:style>
  <w:style w:type="paragraph" w:styleId="a5">
    <w:name w:val="Normal (Web)"/>
    <w:basedOn w:val="a"/>
    <w:uiPriority w:val="99"/>
    <w:unhideWhenUsed/>
    <w:rsid w:val="004F007C"/>
    <w:pPr>
      <w:spacing w:before="100" w:beforeAutospacing="1" w:after="100" w:afterAutospacing="1"/>
      <w:jc w:val="both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vniipo">
    <w:name w:val="vniipo"/>
    <w:basedOn w:val="a"/>
    <w:rsid w:val="004F007C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npb">
    <w:name w:val="npb"/>
    <w:basedOn w:val="a"/>
    <w:rsid w:val="004F007C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form">
    <w:name w:val="form"/>
    <w:basedOn w:val="a"/>
    <w:rsid w:val="004F007C"/>
    <w:pPr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formtext">
    <w:name w:val="formtext"/>
    <w:basedOn w:val="a"/>
    <w:rsid w:val="004F007C"/>
    <w:pPr>
      <w:spacing w:before="100" w:beforeAutospacing="1" w:after="100" w:afterAutospacing="1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right">
    <w:name w:val="right"/>
    <w:basedOn w:val="a"/>
    <w:rsid w:val="004F007C"/>
    <w:pPr>
      <w:spacing w:before="100" w:beforeAutospacing="1" w:after="100" w:afterAutospacing="1"/>
      <w:jc w:val="right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snip">
    <w:name w:val="snip"/>
    <w:basedOn w:val="a"/>
    <w:rsid w:val="004F007C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F007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00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F007C"/>
    <w:pPr>
      <w:spacing w:before="100" w:beforeAutospacing="1" w:after="100" w:afterAutospacing="1"/>
      <w:outlineLvl w:val="1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4F007C"/>
    <w:pPr>
      <w:spacing w:before="100" w:beforeAutospacing="1" w:after="100" w:afterAutospacing="1"/>
      <w:outlineLvl w:val="2"/>
    </w:pPr>
    <w:rPr>
      <w:rFonts w:ascii="Arial" w:eastAsia="Times New Roman" w:hAnsi="Arial" w:cs="Arial"/>
      <w:b/>
      <w:bCs/>
      <w:i/>
      <w:iCs/>
      <w:color w:val="000000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4F007C"/>
    <w:pPr>
      <w:spacing w:before="100" w:beforeAutospacing="1" w:after="100" w:afterAutospacing="1"/>
      <w:jc w:val="center"/>
      <w:outlineLvl w:val="3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F007C"/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F007C"/>
    <w:rPr>
      <w:rFonts w:ascii="Arial" w:eastAsia="Times New Roman" w:hAnsi="Arial" w:cs="Arial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F007C"/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F007C"/>
  </w:style>
  <w:style w:type="character" w:styleId="a3">
    <w:name w:val="Hyperlink"/>
    <w:basedOn w:val="a0"/>
    <w:uiPriority w:val="99"/>
    <w:semiHidden/>
    <w:unhideWhenUsed/>
    <w:rsid w:val="004F007C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4F007C"/>
    <w:rPr>
      <w:strike w:val="0"/>
      <w:dstrike w:val="0"/>
      <w:color w:val="FF0000"/>
      <w:u w:val="none"/>
      <w:effect w:val="none"/>
    </w:rPr>
  </w:style>
  <w:style w:type="paragraph" w:styleId="a5">
    <w:name w:val="Normal (Web)"/>
    <w:basedOn w:val="a"/>
    <w:uiPriority w:val="99"/>
    <w:unhideWhenUsed/>
    <w:rsid w:val="004F007C"/>
    <w:pPr>
      <w:spacing w:before="100" w:beforeAutospacing="1" w:after="100" w:afterAutospacing="1"/>
      <w:jc w:val="both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vniipo">
    <w:name w:val="vniipo"/>
    <w:basedOn w:val="a"/>
    <w:rsid w:val="004F007C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npb">
    <w:name w:val="npb"/>
    <w:basedOn w:val="a"/>
    <w:rsid w:val="004F007C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form">
    <w:name w:val="form"/>
    <w:basedOn w:val="a"/>
    <w:rsid w:val="004F007C"/>
    <w:pPr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formtext">
    <w:name w:val="formtext"/>
    <w:basedOn w:val="a"/>
    <w:rsid w:val="004F007C"/>
    <w:pPr>
      <w:spacing w:before="100" w:beforeAutospacing="1" w:after="100" w:afterAutospacing="1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right">
    <w:name w:val="right"/>
    <w:basedOn w:val="a"/>
    <w:rsid w:val="004F007C"/>
    <w:pPr>
      <w:spacing w:before="100" w:beforeAutospacing="1" w:after="100" w:afterAutospacing="1"/>
      <w:jc w:val="right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snip">
    <w:name w:val="snip"/>
    <w:basedOn w:val="a"/>
    <w:rsid w:val="004F007C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F007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00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2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233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4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489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5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197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86817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245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0565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015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2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13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1603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8081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gif"/><Relationship Id="rId18" Type="http://schemas.openxmlformats.org/officeDocument/2006/relationships/image" Target="media/image6.gif"/><Relationship Id="rId26" Type="http://schemas.openxmlformats.org/officeDocument/2006/relationships/image" Target="media/image14.gif"/><Relationship Id="rId39" Type="http://schemas.openxmlformats.org/officeDocument/2006/relationships/image" Target="media/image27.gif"/><Relationship Id="rId21" Type="http://schemas.openxmlformats.org/officeDocument/2006/relationships/image" Target="media/image9.gif"/><Relationship Id="rId34" Type="http://schemas.openxmlformats.org/officeDocument/2006/relationships/image" Target="media/image22.gif"/><Relationship Id="rId42" Type="http://schemas.openxmlformats.org/officeDocument/2006/relationships/image" Target="media/image30.gif"/><Relationship Id="rId47" Type="http://schemas.openxmlformats.org/officeDocument/2006/relationships/image" Target="media/image35.gif"/><Relationship Id="rId50" Type="http://schemas.openxmlformats.org/officeDocument/2006/relationships/image" Target="media/image38.gif"/><Relationship Id="rId55" Type="http://schemas.openxmlformats.org/officeDocument/2006/relationships/image" Target="media/image43.gif"/><Relationship Id="rId7" Type="http://schemas.openxmlformats.org/officeDocument/2006/relationships/hyperlink" Target="file:///E:\NPB\105-03.htm" TargetMode="External"/><Relationship Id="rId12" Type="http://schemas.openxmlformats.org/officeDocument/2006/relationships/hyperlink" Target="file:///E:\NPB\105-03.htm" TargetMode="External"/><Relationship Id="rId17" Type="http://schemas.openxmlformats.org/officeDocument/2006/relationships/image" Target="media/image5.gif"/><Relationship Id="rId25" Type="http://schemas.openxmlformats.org/officeDocument/2006/relationships/image" Target="media/image13.gif"/><Relationship Id="rId33" Type="http://schemas.openxmlformats.org/officeDocument/2006/relationships/image" Target="media/image21.gif"/><Relationship Id="rId38" Type="http://schemas.openxmlformats.org/officeDocument/2006/relationships/image" Target="media/image26.gif"/><Relationship Id="rId46" Type="http://schemas.openxmlformats.org/officeDocument/2006/relationships/image" Target="media/image34.gif"/><Relationship Id="rId59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4.gif"/><Relationship Id="rId20" Type="http://schemas.openxmlformats.org/officeDocument/2006/relationships/image" Target="media/image8.gif"/><Relationship Id="rId29" Type="http://schemas.openxmlformats.org/officeDocument/2006/relationships/image" Target="media/image17.gif"/><Relationship Id="rId41" Type="http://schemas.openxmlformats.org/officeDocument/2006/relationships/image" Target="media/image29.gif"/><Relationship Id="rId54" Type="http://schemas.openxmlformats.org/officeDocument/2006/relationships/image" Target="media/image42.gif"/><Relationship Id="rId1" Type="http://schemas.openxmlformats.org/officeDocument/2006/relationships/styles" Target="styles.xml"/><Relationship Id="rId6" Type="http://schemas.openxmlformats.org/officeDocument/2006/relationships/hyperlink" Target="file:///E:\NPB\105-03.htm" TargetMode="External"/><Relationship Id="rId11" Type="http://schemas.openxmlformats.org/officeDocument/2006/relationships/hyperlink" Target="file:///E:\NPB\105-03.htm" TargetMode="External"/><Relationship Id="rId24" Type="http://schemas.openxmlformats.org/officeDocument/2006/relationships/image" Target="media/image12.gif"/><Relationship Id="rId32" Type="http://schemas.openxmlformats.org/officeDocument/2006/relationships/image" Target="media/image20.gif"/><Relationship Id="rId37" Type="http://schemas.openxmlformats.org/officeDocument/2006/relationships/image" Target="media/image25.gif"/><Relationship Id="rId40" Type="http://schemas.openxmlformats.org/officeDocument/2006/relationships/image" Target="media/image28.gif"/><Relationship Id="rId45" Type="http://schemas.openxmlformats.org/officeDocument/2006/relationships/image" Target="media/image33.gif"/><Relationship Id="rId53" Type="http://schemas.openxmlformats.org/officeDocument/2006/relationships/image" Target="media/image41.gif"/><Relationship Id="rId58" Type="http://schemas.openxmlformats.org/officeDocument/2006/relationships/fontTable" Target="fontTable.xml"/><Relationship Id="rId5" Type="http://schemas.openxmlformats.org/officeDocument/2006/relationships/hyperlink" Target="file:///E:\NPB\105-03.htm" TargetMode="External"/><Relationship Id="rId15" Type="http://schemas.openxmlformats.org/officeDocument/2006/relationships/image" Target="media/image3.gif"/><Relationship Id="rId23" Type="http://schemas.openxmlformats.org/officeDocument/2006/relationships/image" Target="media/image11.gif"/><Relationship Id="rId28" Type="http://schemas.openxmlformats.org/officeDocument/2006/relationships/image" Target="media/image16.gif"/><Relationship Id="rId36" Type="http://schemas.openxmlformats.org/officeDocument/2006/relationships/image" Target="media/image24.gif"/><Relationship Id="rId49" Type="http://schemas.openxmlformats.org/officeDocument/2006/relationships/image" Target="media/image37.gif"/><Relationship Id="rId57" Type="http://schemas.openxmlformats.org/officeDocument/2006/relationships/image" Target="media/image45.gif"/><Relationship Id="rId10" Type="http://schemas.openxmlformats.org/officeDocument/2006/relationships/hyperlink" Target="file:///E:\NPB\105-03.htm" TargetMode="External"/><Relationship Id="rId19" Type="http://schemas.openxmlformats.org/officeDocument/2006/relationships/image" Target="media/image7.gif"/><Relationship Id="rId31" Type="http://schemas.openxmlformats.org/officeDocument/2006/relationships/image" Target="media/image19.gif"/><Relationship Id="rId44" Type="http://schemas.openxmlformats.org/officeDocument/2006/relationships/image" Target="media/image32.gif"/><Relationship Id="rId52" Type="http://schemas.openxmlformats.org/officeDocument/2006/relationships/image" Target="media/image40.gif"/><Relationship Id="rId4" Type="http://schemas.openxmlformats.org/officeDocument/2006/relationships/webSettings" Target="webSettings.xml"/><Relationship Id="rId9" Type="http://schemas.openxmlformats.org/officeDocument/2006/relationships/hyperlink" Target="file:///E:\NPB\105-03.htm" TargetMode="External"/><Relationship Id="rId14" Type="http://schemas.openxmlformats.org/officeDocument/2006/relationships/image" Target="media/image2.gif"/><Relationship Id="rId22" Type="http://schemas.openxmlformats.org/officeDocument/2006/relationships/image" Target="media/image10.gif"/><Relationship Id="rId27" Type="http://schemas.openxmlformats.org/officeDocument/2006/relationships/image" Target="media/image15.gif"/><Relationship Id="rId30" Type="http://schemas.openxmlformats.org/officeDocument/2006/relationships/image" Target="media/image18.gif"/><Relationship Id="rId35" Type="http://schemas.openxmlformats.org/officeDocument/2006/relationships/image" Target="media/image23.gif"/><Relationship Id="rId43" Type="http://schemas.openxmlformats.org/officeDocument/2006/relationships/image" Target="media/image31.gif"/><Relationship Id="rId48" Type="http://schemas.openxmlformats.org/officeDocument/2006/relationships/image" Target="media/image36.gif"/><Relationship Id="rId56" Type="http://schemas.openxmlformats.org/officeDocument/2006/relationships/image" Target="media/image44.gif"/><Relationship Id="rId8" Type="http://schemas.openxmlformats.org/officeDocument/2006/relationships/hyperlink" Target="file:///E:\NPB\105-03.htm" TargetMode="External"/><Relationship Id="rId51" Type="http://schemas.openxmlformats.org/officeDocument/2006/relationships/image" Target="media/image39.gi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9532</Words>
  <Characters>54335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2014-12-13T10:19:00Z</dcterms:created>
  <dcterms:modified xsi:type="dcterms:W3CDTF">2014-12-13T10:25:00Z</dcterms:modified>
</cp:coreProperties>
</file>